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4677"/>
        <w:gridCol w:w="2976"/>
        <w:gridCol w:w="2466"/>
        <w:gridCol w:w="14"/>
        <w:gridCol w:w="2478"/>
        <w:gridCol w:w="2478"/>
      </w:tblGrid>
      <w:tr w:rsidR="00DB229B" w:rsidRPr="00DB58F4" w:rsidTr="00B43B8B">
        <w:tc>
          <w:tcPr>
            <w:tcW w:w="15808" w:type="dxa"/>
            <w:gridSpan w:val="7"/>
          </w:tcPr>
          <w:p w:rsidR="00DB229B" w:rsidRPr="00DB58F4" w:rsidRDefault="006D5973" w:rsidP="0038396F">
            <w:pPr>
              <w:rPr>
                <w:b/>
                <w:sz w:val="22"/>
                <w:szCs w:val="22"/>
              </w:rPr>
            </w:pPr>
            <w:r>
              <w:rPr>
                <w:b/>
                <w:bCs/>
                <w:sz w:val="22"/>
                <w:szCs w:val="22"/>
              </w:rPr>
              <w:t>6</w:t>
            </w:r>
            <w:r w:rsidR="00A25EC9">
              <w:rPr>
                <w:b/>
                <w:bCs/>
                <w:sz w:val="22"/>
                <w:szCs w:val="22"/>
              </w:rPr>
              <w:t>.6</w:t>
            </w:r>
            <w:r w:rsidR="00A83541">
              <w:rPr>
                <w:b/>
                <w:bCs/>
                <w:sz w:val="22"/>
                <w:szCs w:val="22"/>
              </w:rPr>
              <w:t xml:space="preserve"> </w:t>
            </w:r>
            <w:r w:rsidR="00172DC1" w:rsidRPr="00DB58F4">
              <w:rPr>
                <w:b/>
                <w:bCs/>
                <w:sz w:val="22"/>
                <w:szCs w:val="22"/>
              </w:rPr>
              <w:t xml:space="preserve">Программа «Рефинансирование». </w:t>
            </w:r>
            <w:r w:rsidR="00814264" w:rsidRPr="00DB58F4">
              <w:rPr>
                <w:b/>
                <w:bCs/>
                <w:sz w:val="22"/>
                <w:szCs w:val="22"/>
              </w:rPr>
              <w:t>Предоставление ипотечных кредитов физическим  лицам на погашение кредитов, полученных в других кредитных организациях.</w:t>
            </w:r>
          </w:p>
        </w:tc>
      </w:tr>
      <w:tr w:rsidR="0038396F" w:rsidRPr="00DB58F4" w:rsidTr="0038396F">
        <w:trPr>
          <w:trHeight w:val="469"/>
        </w:trPr>
        <w:tc>
          <w:tcPr>
            <w:tcW w:w="15808" w:type="dxa"/>
            <w:gridSpan w:val="7"/>
            <w:vAlign w:val="center"/>
          </w:tcPr>
          <w:p w:rsidR="0038396F" w:rsidRPr="00DB58F4" w:rsidRDefault="0038396F" w:rsidP="004314C4">
            <w:pPr>
              <w:numPr>
                <w:ilvl w:val="0"/>
                <w:numId w:val="3"/>
              </w:numPr>
              <w:rPr>
                <w:sz w:val="22"/>
                <w:szCs w:val="22"/>
              </w:rPr>
            </w:pPr>
            <w:r w:rsidRPr="00DB58F4">
              <w:rPr>
                <w:sz w:val="22"/>
                <w:szCs w:val="22"/>
              </w:rPr>
              <w:t>Условия кредитования и погашения задолженности</w:t>
            </w:r>
          </w:p>
        </w:tc>
      </w:tr>
      <w:tr w:rsidR="00DB229B" w:rsidRPr="00DB58F4" w:rsidTr="00347F4F">
        <w:tc>
          <w:tcPr>
            <w:tcW w:w="719" w:type="dxa"/>
            <w:vAlign w:val="center"/>
          </w:tcPr>
          <w:p w:rsidR="00C43AC4" w:rsidRDefault="004314C4">
            <w:pPr>
              <w:rPr>
                <w:sz w:val="22"/>
                <w:szCs w:val="22"/>
              </w:rPr>
            </w:pPr>
            <w:r w:rsidRPr="00DB58F4">
              <w:rPr>
                <w:sz w:val="22"/>
                <w:szCs w:val="22"/>
              </w:rPr>
              <w:t>1.1</w:t>
            </w:r>
          </w:p>
        </w:tc>
        <w:tc>
          <w:tcPr>
            <w:tcW w:w="4677" w:type="dxa"/>
            <w:vAlign w:val="center"/>
          </w:tcPr>
          <w:p w:rsidR="00DB229B" w:rsidRPr="00DB58F4" w:rsidRDefault="00DB229B" w:rsidP="00EE0B82">
            <w:pPr>
              <w:rPr>
                <w:sz w:val="22"/>
                <w:szCs w:val="22"/>
              </w:rPr>
            </w:pPr>
            <w:r w:rsidRPr="00DB58F4">
              <w:rPr>
                <w:sz w:val="22"/>
                <w:szCs w:val="22"/>
              </w:rPr>
              <w:t>Валюта кредита</w:t>
            </w:r>
          </w:p>
        </w:tc>
        <w:tc>
          <w:tcPr>
            <w:tcW w:w="10412" w:type="dxa"/>
            <w:gridSpan w:val="5"/>
            <w:vAlign w:val="center"/>
          </w:tcPr>
          <w:p w:rsidR="00C43AC4" w:rsidRDefault="000F1859">
            <w:pPr>
              <w:ind w:left="42"/>
              <w:jc w:val="center"/>
              <w:rPr>
                <w:sz w:val="22"/>
                <w:szCs w:val="22"/>
              </w:rPr>
            </w:pPr>
            <w:r w:rsidRPr="00DB58F4">
              <w:rPr>
                <w:sz w:val="22"/>
                <w:szCs w:val="22"/>
              </w:rPr>
              <w:t>Рубли</w:t>
            </w:r>
            <w:r w:rsidR="00DB229B" w:rsidRPr="00DB58F4">
              <w:rPr>
                <w:sz w:val="22"/>
                <w:szCs w:val="22"/>
              </w:rPr>
              <w:t xml:space="preserve"> РФ</w:t>
            </w:r>
          </w:p>
        </w:tc>
      </w:tr>
      <w:tr w:rsidR="00DB229B" w:rsidRPr="00DB58F4" w:rsidTr="00347F4F">
        <w:tc>
          <w:tcPr>
            <w:tcW w:w="719" w:type="dxa"/>
            <w:vAlign w:val="center"/>
          </w:tcPr>
          <w:p w:rsidR="00C43AC4" w:rsidRDefault="004314C4">
            <w:pPr>
              <w:rPr>
                <w:sz w:val="22"/>
                <w:szCs w:val="22"/>
              </w:rPr>
            </w:pPr>
            <w:r w:rsidRPr="00DB58F4">
              <w:rPr>
                <w:sz w:val="22"/>
                <w:szCs w:val="22"/>
              </w:rPr>
              <w:t>1.2</w:t>
            </w:r>
          </w:p>
        </w:tc>
        <w:tc>
          <w:tcPr>
            <w:tcW w:w="4677" w:type="dxa"/>
            <w:vAlign w:val="center"/>
          </w:tcPr>
          <w:p w:rsidR="00DB229B" w:rsidRPr="00DB58F4" w:rsidRDefault="00DB229B" w:rsidP="00EE0B82">
            <w:pPr>
              <w:rPr>
                <w:sz w:val="22"/>
                <w:szCs w:val="22"/>
              </w:rPr>
            </w:pPr>
            <w:r w:rsidRPr="00DB58F4">
              <w:rPr>
                <w:sz w:val="22"/>
                <w:szCs w:val="22"/>
              </w:rPr>
              <w:t>Срок кредита</w:t>
            </w:r>
          </w:p>
        </w:tc>
        <w:tc>
          <w:tcPr>
            <w:tcW w:w="10412" w:type="dxa"/>
            <w:gridSpan w:val="5"/>
            <w:vAlign w:val="center"/>
          </w:tcPr>
          <w:p w:rsidR="00C43AC4" w:rsidRDefault="003A2F0C">
            <w:pPr>
              <w:ind w:left="42"/>
              <w:jc w:val="center"/>
              <w:rPr>
                <w:sz w:val="22"/>
                <w:szCs w:val="22"/>
              </w:rPr>
            </w:pPr>
            <w:r w:rsidRPr="00DB58F4">
              <w:rPr>
                <w:sz w:val="22"/>
                <w:szCs w:val="22"/>
              </w:rPr>
              <w:t>До 300 месяцев</w:t>
            </w:r>
          </w:p>
        </w:tc>
      </w:tr>
      <w:tr w:rsidR="00DB229B" w:rsidRPr="00DB58F4" w:rsidTr="00347F4F">
        <w:tc>
          <w:tcPr>
            <w:tcW w:w="719" w:type="dxa"/>
            <w:vAlign w:val="center"/>
          </w:tcPr>
          <w:p w:rsidR="00C43AC4" w:rsidRDefault="004314C4">
            <w:pPr>
              <w:rPr>
                <w:sz w:val="22"/>
                <w:szCs w:val="22"/>
              </w:rPr>
            </w:pPr>
            <w:r w:rsidRPr="00DB58F4">
              <w:rPr>
                <w:sz w:val="22"/>
                <w:szCs w:val="22"/>
              </w:rPr>
              <w:t>1.3</w:t>
            </w:r>
          </w:p>
        </w:tc>
        <w:tc>
          <w:tcPr>
            <w:tcW w:w="4677" w:type="dxa"/>
            <w:vAlign w:val="center"/>
          </w:tcPr>
          <w:p w:rsidR="00DB229B" w:rsidRPr="00DB58F4" w:rsidRDefault="00DB229B" w:rsidP="00EE0B82">
            <w:pPr>
              <w:rPr>
                <w:sz w:val="22"/>
                <w:szCs w:val="22"/>
              </w:rPr>
            </w:pPr>
            <w:r w:rsidRPr="00DB58F4">
              <w:rPr>
                <w:sz w:val="22"/>
                <w:szCs w:val="22"/>
              </w:rPr>
              <w:t>Минимальная сумма кредита</w:t>
            </w:r>
          </w:p>
        </w:tc>
        <w:tc>
          <w:tcPr>
            <w:tcW w:w="10412" w:type="dxa"/>
            <w:gridSpan w:val="5"/>
            <w:vAlign w:val="center"/>
          </w:tcPr>
          <w:p w:rsidR="00C43AC4" w:rsidRDefault="00DB229B">
            <w:pPr>
              <w:ind w:left="42"/>
              <w:jc w:val="center"/>
              <w:rPr>
                <w:sz w:val="22"/>
                <w:szCs w:val="22"/>
              </w:rPr>
            </w:pPr>
            <w:r w:rsidRPr="00DB58F4">
              <w:rPr>
                <w:sz w:val="22"/>
                <w:szCs w:val="22"/>
              </w:rPr>
              <w:t>300 000 рублей</w:t>
            </w:r>
            <w:r w:rsidR="004C27C6">
              <w:rPr>
                <w:sz w:val="22"/>
                <w:szCs w:val="22"/>
              </w:rPr>
              <w:t xml:space="preserve"> РФ</w:t>
            </w:r>
          </w:p>
        </w:tc>
      </w:tr>
      <w:tr w:rsidR="00DB229B" w:rsidRPr="00DB58F4" w:rsidTr="00347F4F">
        <w:tc>
          <w:tcPr>
            <w:tcW w:w="719" w:type="dxa"/>
            <w:vAlign w:val="center"/>
          </w:tcPr>
          <w:p w:rsidR="00C43AC4" w:rsidRDefault="004314C4">
            <w:pPr>
              <w:rPr>
                <w:sz w:val="22"/>
                <w:szCs w:val="22"/>
              </w:rPr>
            </w:pPr>
            <w:r w:rsidRPr="00DB58F4">
              <w:rPr>
                <w:sz w:val="22"/>
                <w:szCs w:val="22"/>
              </w:rPr>
              <w:t>1.4</w:t>
            </w:r>
          </w:p>
        </w:tc>
        <w:tc>
          <w:tcPr>
            <w:tcW w:w="4677" w:type="dxa"/>
            <w:vAlign w:val="center"/>
          </w:tcPr>
          <w:p w:rsidR="00DB229B" w:rsidRPr="00DB58F4" w:rsidRDefault="00DB229B" w:rsidP="00EE0B82">
            <w:pPr>
              <w:rPr>
                <w:sz w:val="22"/>
                <w:szCs w:val="22"/>
              </w:rPr>
            </w:pPr>
            <w:r w:rsidRPr="00DB58F4">
              <w:rPr>
                <w:sz w:val="22"/>
                <w:szCs w:val="22"/>
              </w:rPr>
              <w:t>Максимальная сумма кредита</w:t>
            </w:r>
            <w:r w:rsidR="00793958">
              <w:rPr>
                <w:rStyle w:val="ac"/>
                <w:sz w:val="22"/>
                <w:szCs w:val="22"/>
              </w:rPr>
              <w:footnoteReference w:id="1"/>
            </w:r>
          </w:p>
        </w:tc>
        <w:tc>
          <w:tcPr>
            <w:tcW w:w="10412" w:type="dxa"/>
            <w:gridSpan w:val="5"/>
            <w:vAlign w:val="center"/>
          </w:tcPr>
          <w:p w:rsidR="00C43AC4" w:rsidRDefault="008A1F04">
            <w:pPr>
              <w:ind w:left="42"/>
              <w:jc w:val="center"/>
              <w:rPr>
                <w:sz w:val="22"/>
                <w:szCs w:val="22"/>
              </w:rPr>
            </w:pPr>
            <w:r>
              <w:rPr>
                <w:sz w:val="22"/>
                <w:szCs w:val="22"/>
                <w:lang w:val="en-US"/>
              </w:rPr>
              <w:t>25</w:t>
            </w:r>
            <w:r w:rsidR="004C27C6">
              <w:rPr>
                <w:sz w:val="22"/>
                <w:szCs w:val="22"/>
              </w:rPr>
              <w:t> 000 000 рубле</w:t>
            </w:r>
            <w:r w:rsidR="009B6D37">
              <w:rPr>
                <w:sz w:val="22"/>
                <w:szCs w:val="22"/>
              </w:rPr>
              <w:t>й</w:t>
            </w:r>
            <w:r w:rsidR="004C27C6">
              <w:rPr>
                <w:sz w:val="22"/>
                <w:szCs w:val="22"/>
              </w:rPr>
              <w:t xml:space="preserve"> РФ</w:t>
            </w:r>
          </w:p>
        </w:tc>
      </w:tr>
      <w:tr w:rsidR="004C27C6" w:rsidRPr="00DB58F4" w:rsidTr="00347F4F">
        <w:trPr>
          <w:trHeight w:val="504"/>
        </w:trPr>
        <w:tc>
          <w:tcPr>
            <w:tcW w:w="719" w:type="dxa"/>
            <w:vMerge w:val="restart"/>
            <w:vAlign w:val="center"/>
          </w:tcPr>
          <w:p w:rsidR="00C43AC4" w:rsidRDefault="004C27C6">
            <w:pPr>
              <w:rPr>
                <w:sz w:val="22"/>
                <w:szCs w:val="22"/>
              </w:rPr>
            </w:pPr>
            <w:r>
              <w:rPr>
                <w:sz w:val="22"/>
                <w:szCs w:val="22"/>
              </w:rPr>
              <w:t>1.5</w:t>
            </w:r>
          </w:p>
        </w:tc>
        <w:tc>
          <w:tcPr>
            <w:tcW w:w="4677" w:type="dxa"/>
            <w:vMerge w:val="restart"/>
            <w:vAlign w:val="center"/>
          </w:tcPr>
          <w:p w:rsidR="004C27C6" w:rsidRPr="00DB58F4" w:rsidRDefault="004C27C6" w:rsidP="00EE0B82">
            <w:pPr>
              <w:rPr>
                <w:sz w:val="22"/>
                <w:szCs w:val="22"/>
              </w:rPr>
            </w:pPr>
            <w:r>
              <w:rPr>
                <w:sz w:val="22"/>
                <w:szCs w:val="22"/>
              </w:rPr>
              <w:t>Размер кредита</w:t>
            </w:r>
          </w:p>
        </w:tc>
        <w:tc>
          <w:tcPr>
            <w:tcW w:w="5456" w:type="dxa"/>
            <w:gridSpan w:val="3"/>
            <w:vAlign w:val="center"/>
          </w:tcPr>
          <w:p w:rsidR="004C27C6" w:rsidRDefault="004D122B" w:rsidP="004D122B">
            <w:pPr>
              <w:jc w:val="center"/>
              <w:rPr>
                <w:sz w:val="22"/>
                <w:szCs w:val="22"/>
              </w:rPr>
            </w:pPr>
            <w:r>
              <w:rPr>
                <w:sz w:val="22"/>
                <w:szCs w:val="22"/>
              </w:rPr>
              <w:t>Тип обеспечения</w:t>
            </w:r>
          </w:p>
        </w:tc>
        <w:tc>
          <w:tcPr>
            <w:tcW w:w="4956" w:type="dxa"/>
            <w:gridSpan w:val="2"/>
            <w:vAlign w:val="center"/>
          </w:tcPr>
          <w:p w:rsidR="00C43AC4" w:rsidRDefault="004D122B">
            <w:pPr>
              <w:jc w:val="center"/>
              <w:rPr>
                <w:sz w:val="22"/>
                <w:szCs w:val="22"/>
              </w:rPr>
            </w:pPr>
            <w:r>
              <w:rPr>
                <w:sz w:val="22"/>
                <w:szCs w:val="22"/>
              </w:rPr>
              <w:t>Размер кредита</w:t>
            </w:r>
            <w:r w:rsidR="0029778E">
              <w:rPr>
                <w:sz w:val="22"/>
                <w:szCs w:val="22"/>
              </w:rPr>
              <w:t xml:space="preserve"> (</w:t>
            </w:r>
            <w:proofErr w:type="gramStart"/>
            <w:r w:rsidR="0029778E">
              <w:rPr>
                <w:sz w:val="22"/>
                <w:szCs w:val="22"/>
              </w:rPr>
              <w:t>в</w:t>
            </w:r>
            <w:proofErr w:type="gramEnd"/>
            <w:r w:rsidR="0029778E">
              <w:rPr>
                <w:sz w:val="22"/>
                <w:szCs w:val="22"/>
              </w:rPr>
              <w:t xml:space="preserve"> % </w:t>
            </w:r>
            <w:proofErr w:type="gramStart"/>
            <w:r w:rsidR="0029778E">
              <w:rPr>
                <w:sz w:val="22"/>
                <w:szCs w:val="22"/>
              </w:rPr>
              <w:t>от</w:t>
            </w:r>
            <w:proofErr w:type="gramEnd"/>
            <w:r w:rsidR="0029778E">
              <w:rPr>
                <w:sz w:val="22"/>
                <w:szCs w:val="22"/>
              </w:rPr>
              <w:t xml:space="preserve"> оценочной стоимости закладываемой недвижимости)</w:t>
            </w:r>
            <w:r w:rsidR="00A0411F">
              <w:rPr>
                <w:rStyle w:val="ac"/>
                <w:sz w:val="22"/>
                <w:szCs w:val="22"/>
              </w:rPr>
              <w:footnoteReference w:id="2"/>
            </w:r>
          </w:p>
        </w:tc>
      </w:tr>
      <w:tr w:rsidR="004C27C6" w:rsidRPr="00DB58F4" w:rsidTr="00347F4F">
        <w:tc>
          <w:tcPr>
            <w:tcW w:w="719" w:type="dxa"/>
            <w:vMerge/>
            <w:vAlign w:val="center"/>
          </w:tcPr>
          <w:p w:rsidR="00C43AC4" w:rsidRDefault="00C43AC4">
            <w:pPr>
              <w:rPr>
                <w:sz w:val="22"/>
                <w:szCs w:val="22"/>
              </w:rPr>
            </w:pPr>
          </w:p>
        </w:tc>
        <w:tc>
          <w:tcPr>
            <w:tcW w:w="4677" w:type="dxa"/>
            <w:vMerge/>
            <w:vAlign w:val="center"/>
          </w:tcPr>
          <w:p w:rsidR="004C27C6" w:rsidRDefault="004C27C6" w:rsidP="00EE0B82">
            <w:pPr>
              <w:rPr>
                <w:sz w:val="22"/>
                <w:szCs w:val="22"/>
              </w:rPr>
            </w:pPr>
          </w:p>
        </w:tc>
        <w:tc>
          <w:tcPr>
            <w:tcW w:w="5456" w:type="dxa"/>
            <w:gridSpan w:val="3"/>
            <w:vAlign w:val="center"/>
          </w:tcPr>
          <w:p w:rsidR="004C27C6" w:rsidRDefault="0029778E" w:rsidP="0029778E">
            <w:pPr>
              <w:rPr>
                <w:sz w:val="22"/>
                <w:szCs w:val="22"/>
              </w:rPr>
            </w:pPr>
            <w:r>
              <w:rPr>
                <w:sz w:val="22"/>
                <w:szCs w:val="22"/>
              </w:rPr>
              <w:t>Квартира в многоквартирном доме на вторичном рынке недвижимости</w:t>
            </w:r>
          </w:p>
        </w:tc>
        <w:tc>
          <w:tcPr>
            <w:tcW w:w="4956" w:type="dxa"/>
            <w:gridSpan w:val="2"/>
            <w:vAlign w:val="center"/>
          </w:tcPr>
          <w:p w:rsidR="004C27C6" w:rsidRDefault="00690FD5" w:rsidP="00690FD5">
            <w:pPr>
              <w:jc w:val="center"/>
              <w:rPr>
                <w:sz w:val="22"/>
                <w:szCs w:val="22"/>
              </w:rPr>
            </w:pPr>
            <w:r>
              <w:rPr>
                <w:sz w:val="22"/>
                <w:szCs w:val="22"/>
              </w:rPr>
              <w:t xml:space="preserve">от 15% до </w:t>
            </w:r>
            <w:r>
              <w:rPr>
                <w:sz w:val="22"/>
                <w:szCs w:val="22"/>
                <w:lang w:val="en-US"/>
              </w:rPr>
              <w:t>8</w:t>
            </w:r>
            <w:r w:rsidR="0029778E">
              <w:rPr>
                <w:sz w:val="22"/>
                <w:szCs w:val="22"/>
              </w:rPr>
              <w:t>0%</w:t>
            </w:r>
          </w:p>
        </w:tc>
      </w:tr>
      <w:tr w:rsidR="007F6B91" w:rsidRPr="00DB58F4" w:rsidTr="00347F4F">
        <w:tc>
          <w:tcPr>
            <w:tcW w:w="719" w:type="dxa"/>
            <w:vMerge/>
            <w:vAlign w:val="center"/>
          </w:tcPr>
          <w:p w:rsidR="00C43AC4" w:rsidRDefault="00C43AC4">
            <w:pPr>
              <w:rPr>
                <w:sz w:val="22"/>
                <w:szCs w:val="22"/>
              </w:rPr>
            </w:pPr>
          </w:p>
        </w:tc>
        <w:tc>
          <w:tcPr>
            <w:tcW w:w="4677" w:type="dxa"/>
            <w:vMerge/>
            <w:vAlign w:val="center"/>
          </w:tcPr>
          <w:p w:rsidR="007F6B91" w:rsidRDefault="007F6B91" w:rsidP="00EE0B82">
            <w:pPr>
              <w:rPr>
                <w:sz w:val="22"/>
                <w:szCs w:val="22"/>
              </w:rPr>
            </w:pPr>
          </w:p>
        </w:tc>
        <w:tc>
          <w:tcPr>
            <w:tcW w:w="5456" w:type="dxa"/>
            <w:gridSpan w:val="3"/>
            <w:vAlign w:val="center"/>
          </w:tcPr>
          <w:p w:rsidR="007F6B91" w:rsidRDefault="007F6B91" w:rsidP="005F473B">
            <w:pPr>
              <w:rPr>
                <w:sz w:val="22"/>
                <w:szCs w:val="22"/>
              </w:rPr>
            </w:pPr>
            <w:proofErr w:type="gramStart"/>
            <w:r>
              <w:rPr>
                <w:sz w:val="22"/>
                <w:szCs w:val="22"/>
              </w:rPr>
              <w:t>Сблокированный</w:t>
            </w:r>
            <w:proofErr w:type="gramEnd"/>
            <w:r>
              <w:rPr>
                <w:sz w:val="22"/>
                <w:szCs w:val="22"/>
              </w:rPr>
              <w:t xml:space="preserve"> дом (таунхаус)/ Сблокированный дом (таунхаус) с земельным участком</w:t>
            </w:r>
          </w:p>
        </w:tc>
        <w:tc>
          <w:tcPr>
            <w:tcW w:w="4956" w:type="dxa"/>
            <w:gridSpan w:val="2"/>
            <w:vAlign w:val="center"/>
          </w:tcPr>
          <w:p w:rsidR="007F6B91" w:rsidRDefault="007F6B91" w:rsidP="00690FD5">
            <w:pPr>
              <w:jc w:val="center"/>
              <w:rPr>
                <w:sz w:val="22"/>
                <w:szCs w:val="22"/>
              </w:rPr>
            </w:pPr>
            <w:r>
              <w:rPr>
                <w:sz w:val="22"/>
                <w:szCs w:val="22"/>
              </w:rPr>
              <w:t>от 15% до 80%</w:t>
            </w:r>
          </w:p>
        </w:tc>
      </w:tr>
      <w:tr w:rsidR="007F6B91" w:rsidRPr="00DB58F4" w:rsidTr="00347F4F">
        <w:trPr>
          <w:trHeight w:val="498"/>
        </w:trPr>
        <w:tc>
          <w:tcPr>
            <w:tcW w:w="719" w:type="dxa"/>
            <w:vMerge/>
            <w:vAlign w:val="center"/>
          </w:tcPr>
          <w:p w:rsidR="00C43AC4" w:rsidRDefault="00C43AC4">
            <w:pPr>
              <w:rPr>
                <w:sz w:val="22"/>
                <w:szCs w:val="22"/>
              </w:rPr>
            </w:pPr>
          </w:p>
        </w:tc>
        <w:tc>
          <w:tcPr>
            <w:tcW w:w="4677" w:type="dxa"/>
            <w:vMerge/>
            <w:vAlign w:val="center"/>
          </w:tcPr>
          <w:p w:rsidR="007F6B91" w:rsidRDefault="007F6B91" w:rsidP="00EE0B82">
            <w:pPr>
              <w:rPr>
                <w:sz w:val="22"/>
                <w:szCs w:val="22"/>
              </w:rPr>
            </w:pPr>
          </w:p>
        </w:tc>
        <w:tc>
          <w:tcPr>
            <w:tcW w:w="5456" w:type="dxa"/>
            <w:gridSpan w:val="3"/>
            <w:vAlign w:val="center"/>
          </w:tcPr>
          <w:p w:rsidR="007F6B91" w:rsidRDefault="007F6B91" w:rsidP="0029778E">
            <w:pPr>
              <w:rPr>
                <w:sz w:val="22"/>
                <w:szCs w:val="22"/>
              </w:rPr>
            </w:pPr>
            <w:r>
              <w:rPr>
                <w:sz w:val="22"/>
                <w:szCs w:val="22"/>
              </w:rPr>
              <w:t>Жилой дом/ Жилой дом с земельным участком</w:t>
            </w:r>
          </w:p>
        </w:tc>
        <w:tc>
          <w:tcPr>
            <w:tcW w:w="4956" w:type="dxa"/>
            <w:gridSpan w:val="2"/>
            <w:vAlign w:val="center"/>
          </w:tcPr>
          <w:p w:rsidR="007F6B91" w:rsidRDefault="007F6B91" w:rsidP="00690FD5">
            <w:pPr>
              <w:jc w:val="center"/>
              <w:rPr>
                <w:sz w:val="22"/>
                <w:szCs w:val="22"/>
              </w:rPr>
            </w:pPr>
            <w:r>
              <w:rPr>
                <w:sz w:val="22"/>
                <w:szCs w:val="22"/>
              </w:rPr>
              <w:t>от 15% до 70%</w:t>
            </w:r>
          </w:p>
        </w:tc>
      </w:tr>
      <w:tr w:rsidR="00BD3C32" w:rsidRPr="00DB58F4" w:rsidTr="00347F4F">
        <w:trPr>
          <w:trHeight w:val="52"/>
        </w:trPr>
        <w:tc>
          <w:tcPr>
            <w:tcW w:w="719" w:type="dxa"/>
            <w:vMerge w:val="restart"/>
            <w:vAlign w:val="center"/>
          </w:tcPr>
          <w:p w:rsidR="00C43AC4" w:rsidRDefault="00BD3C32">
            <w:pPr>
              <w:rPr>
                <w:sz w:val="22"/>
                <w:szCs w:val="22"/>
              </w:rPr>
            </w:pPr>
            <w:r w:rsidRPr="00DB58F4">
              <w:rPr>
                <w:sz w:val="22"/>
                <w:szCs w:val="22"/>
              </w:rPr>
              <w:t>1.</w:t>
            </w:r>
            <w:r>
              <w:rPr>
                <w:sz w:val="22"/>
                <w:szCs w:val="22"/>
              </w:rPr>
              <w:t>6</w:t>
            </w:r>
          </w:p>
        </w:tc>
        <w:tc>
          <w:tcPr>
            <w:tcW w:w="4677" w:type="dxa"/>
            <w:vMerge w:val="restart"/>
            <w:vAlign w:val="center"/>
          </w:tcPr>
          <w:p w:rsidR="00BD3C32" w:rsidRPr="00DB58F4" w:rsidRDefault="00BD3C32" w:rsidP="00EE0B82">
            <w:pPr>
              <w:rPr>
                <w:sz w:val="22"/>
                <w:szCs w:val="22"/>
              </w:rPr>
            </w:pPr>
            <w:r w:rsidRPr="00DB58F4">
              <w:rPr>
                <w:sz w:val="22"/>
                <w:szCs w:val="22"/>
              </w:rPr>
              <w:t>Годовая процентная ставка</w:t>
            </w:r>
          </w:p>
        </w:tc>
        <w:tc>
          <w:tcPr>
            <w:tcW w:w="2976" w:type="dxa"/>
            <w:vMerge w:val="restart"/>
            <w:vAlign w:val="center"/>
          </w:tcPr>
          <w:p w:rsidR="00BD3C32" w:rsidRPr="00D96BA8" w:rsidRDefault="00BD3C32" w:rsidP="00012B04">
            <w:pPr>
              <w:jc w:val="center"/>
              <w:rPr>
                <w:sz w:val="22"/>
                <w:szCs w:val="22"/>
              </w:rPr>
            </w:pPr>
            <w:r>
              <w:rPr>
                <w:sz w:val="22"/>
                <w:szCs w:val="22"/>
              </w:rPr>
              <w:t>Срок кредита</w:t>
            </w:r>
          </w:p>
        </w:tc>
        <w:tc>
          <w:tcPr>
            <w:tcW w:w="7436" w:type="dxa"/>
            <w:gridSpan w:val="4"/>
            <w:vAlign w:val="center"/>
          </w:tcPr>
          <w:p w:rsidR="00BD3C32" w:rsidRDefault="00F357B4" w:rsidP="00012B04">
            <w:pPr>
              <w:jc w:val="center"/>
              <w:rPr>
                <w:sz w:val="22"/>
                <w:szCs w:val="22"/>
              </w:rPr>
            </w:pPr>
            <w:r>
              <w:rPr>
                <w:sz w:val="22"/>
                <w:szCs w:val="22"/>
              </w:rPr>
              <w:t>Размер кредита</w:t>
            </w:r>
          </w:p>
          <w:p w:rsidR="00F357B4" w:rsidRPr="00D96BA8" w:rsidRDefault="00F357B4" w:rsidP="00012B04">
            <w:pPr>
              <w:jc w:val="center"/>
              <w:rPr>
                <w:sz w:val="22"/>
                <w:szCs w:val="22"/>
              </w:rPr>
            </w:pPr>
            <w:r>
              <w:rPr>
                <w:sz w:val="22"/>
                <w:szCs w:val="22"/>
              </w:rPr>
              <w:t>(</w:t>
            </w:r>
            <w:proofErr w:type="gramStart"/>
            <w:r>
              <w:rPr>
                <w:sz w:val="22"/>
                <w:szCs w:val="22"/>
              </w:rPr>
              <w:t>в</w:t>
            </w:r>
            <w:proofErr w:type="gramEnd"/>
            <w:r>
              <w:rPr>
                <w:sz w:val="22"/>
                <w:szCs w:val="22"/>
              </w:rPr>
              <w:t xml:space="preserve"> % </w:t>
            </w:r>
            <w:proofErr w:type="gramStart"/>
            <w:r>
              <w:rPr>
                <w:sz w:val="22"/>
                <w:szCs w:val="22"/>
              </w:rPr>
              <w:t>от</w:t>
            </w:r>
            <w:proofErr w:type="gramEnd"/>
            <w:r>
              <w:rPr>
                <w:sz w:val="22"/>
                <w:szCs w:val="22"/>
              </w:rPr>
              <w:t xml:space="preserve"> стоимости закладываемой недвижимости)</w:t>
            </w:r>
          </w:p>
        </w:tc>
      </w:tr>
      <w:tr w:rsidR="00F357B4" w:rsidRPr="00DB58F4" w:rsidTr="00347F4F">
        <w:trPr>
          <w:trHeight w:val="187"/>
        </w:trPr>
        <w:tc>
          <w:tcPr>
            <w:tcW w:w="719" w:type="dxa"/>
            <w:vMerge/>
            <w:vAlign w:val="center"/>
          </w:tcPr>
          <w:p w:rsidR="00C43AC4" w:rsidRDefault="00C43AC4">
            <w:pPr>
              <w:rPr>
                <w:sz w:val="22"/>
                <w:szCs w:val="22"/>
              </w:rPr>
            </w:pPr>
          </w:p>
        </w:tc>
        <w:tc>
          <w:tcPr>
            <w:tcW w:w="4677" w:type="dxa"/>
            <w:vMerge/>
            <w:vAlign w:val="center"/>
          </w:tcPr>
          <w:p w:rsidR="00F357B4" w:rsidRPr="00DB58F4" w:rsidRDefault="00F357B4" w:rsidP="00EE0B82">
            <w:pPr>
              <w:rPr>
                <w:sz w:val="22"/>
                <w:szCs w:val="22"/>
              </w:rPr>
            </w:pPr>
          </w:p>
        </w:tc>
        <w:tc>
          <w:tcPr>
            <w:tcW w:w="2976" w:type="dxa"/>
            <w:vMerge/>
            <w:vAlign w:val="center"/>
          </w:tcPr>
          <w:p w:rsidR="00F357B4" w:rsidRPr="00D96BA8" w:rsidRDefault="00F357B4" w:rsidP="00012B04">
            <w:pPr>
              <w:jc w:val="center"/>
              <w:rPr>
                <w:sz w:val="22"/>
                <w:szCs w:val="22"/>
              </w:rPr>
            </w:pPr>
          </w:p>
        </w:tc>
        <w:tc>
          <w:tcPr>
            <w:tcW w:w="2480" w:type="dxa"/>
            <w:gridSpan w:val="2"/>
            <w:vAlign w:val="center"/>
          </w:tcPr>
          <w:p w:rsidR="00C43AC4" w:rsidRDefault="00D101F6">
            <w:pPr>
              <w:jc w:val="center"/>
              <w:rPr>
                <w:sz w:val="22"/>
                <w:szCs w:val="22"/>
              </w:rPr>
            </w:pPr>
            <w:r>
              <w:rPr>
                <w:sz w:val="22"/>
                <w:szCs w:val="22"/>
              </w:rPr>
              <w:t>от 60,00 до 80,00</w:t>
            </w:r>
          </w:p>
        </w:tc>
        <w:tc>
          <w:tcPr>
            <w:tcW w:w="2478" w:type="dxa"/>
            <w:vAlign w:val="center"/>
          </w:tcPr>
          <w:p w:rsidR="00F357B4" w:rsidRPr="00D96BA8" w:rsidRDefault="00D101F6" w:rsidP="00012B04">
            <w:pPr>
              <w:jc w:val="center"/>
              <w:rPr>
                <w:sz w:val="22"/>
                <w:szCs w:val="22"/>
              </w:rPr>
            </w:pPr>
            <w:r>
              <w:rPr>
                <w:sz w:val="22"/>
                <w:szCs w:val="22"/>
              </w:rPr>
              <w:t>от 40,00 до 59,99</w:t>
            </w:r>
          </w:p>
        </w:tc>
        <w:tc>
          <w:tcPr>
            <w:tcW w:w="2478" w:type="dxa"/>
            <w:vAlign w:val="center"/>
          </w:tcPr>
          <w:p w:rsidR="00C43AC4" w:rsidRDefault="00056B39">
            <w:pPr>
              <w:jc w:val="center"/>
              <w:rPr>
                <w:sz w:val="22"/>
                <w:szCs w:val="22"/>
              </w:rPr>
            </w:pPr>
            <w:r>
              <w:rPr>
                <w:sz w:val="22"/>
                <w:szCs w:val="22"/>
              </w:rPr>
              <w:t>от 15,00 до 39,99</w:t>
            </w:r>
          </w:p>
        </w:tc>
      </w:tr>
      <w:tr w:rsidR="001674A8" w:rsidRPr="00DB58F4" w:rsidTr="00347F4F">
        <w:trPr>
          <w:trHeight w:val="20"/>
        </w:trPr>
        <w:tc>
          <w:tcPr>
            <w:tcW w:w="719" w:type="dxa"/>
            <w:vMerge/>
            <w:vAlign w:val="center"/>
          </w:tcPr>
          <w:p w:rsidR="001674A8" w:rsidRDefault="001674A8">
            <w:pPr>
              <w:rPr>
                <w:sz w:val="22"/>
                <w:szCs w:val="22"/>
              </w:rPr>
            </w:pPr>
          </w:p>
        </w:tc>
        <w:tc>
          <w:tcPr>
            <w:tcW w:w="4677" w:type="dxa"/>
            <w:vMerge/>
            <w:vAlign w:val="center"/>
          </w:tcPr>
          <w:p w:rsidR="001674A8" w:rsidRPr="00DB58F4" w:rsidRDefault="001674A8" w:rsidP="00EE0B82">
            <w:pPr>
              <w:rPr>
                <w:sz w:val="22"/>
                <w:szCs w:val="22"/>
              </w:rPr>
            </w:pPr>
          </w:p>
        </w:tc>
        <w:tc>
          <w:tcPr>
            <w:tcW w:w="2976" w:type="dxa"/>
            <w:vAlign w:val="center"/>
          </w:tcPr>
          <w:p w:rsidR="001674A8" w:rsidRPr="00017E8D" w:rsidRDefault="001674A8" w:rsidP="00257C58">
            <w:pPr>
              <w:jc w:val="center"/>
              <w:rPr>
                <w:sz w:val="22"/>
                <w:szCs w:val="22"/>
              </w:rPr>
            </w:pPr>
            <w:r w:rsidRPr="00017E8D">
              <w:rPr>
                <w:sz w:val="22"/>
                <w:szCs w:val="22"/>
              </w:rPr>
              <w:t>до 5 лет</w:t>
            </w:r>
          </w:p>
        </w:tc>
        <w:tc>
          <w:tcPr>
            <w:tcW w:w="2480" w:type="dxa"/>
            <w:gridSpan w:val="2"/>
            <w:vAlign w:val="center"/>
          </w:tcPr>
          <w:p w:rsidR="001674A8" w:rsidRPr="00D96BA8" w:rsidRDefault="00277B18" w:rsidP="00012B04">
            <w:pPr>
              <w:jc w:val="center"/>
              <w:rPr>
                <w:sz w:val="22"/>
                <w:szCs w:val="22"/>
              </w:rPr>
            </w:pPr>
            <w:r>
              <w:rPr>
                <w:sz w:val="22"/>
                <w:szCs w:val="22"/>
              </w:rPr>
              <w:t>13,25%</w:t>
            </w:r>
          </w:p>
        </w:tc>
        <w:tc>
          <w:tcPr>
            <w:tcW w:w="2478" w:type="dxa"/>
            <w:vAlign w:val="center"/>
          </w:tcPr>
          <w:p w:rsidR="001674A8" w:rsidRPr="00D96BA8" w:rsidRDefault="00277B18" w:rsidP="00012B04">
            <w:pPr>
              <w:jc w:val="center"/>
              <w:rPr>
                <w:sz w:val="22"/>
                <w:szCs w:val="22"/>
              </w:rPr>
            </w:pPr>
            <w:r>
              <w:rPr>
                <w:sz w:val="22"/>
                <w:szCs w:val="22"/>
              </w:rPr>
              <w:t>13,00%</w:t>
            </w:r>
          </w:p>
        </w:tc>
        <w:tc>
          <w:tcPr>
            <w:tcW w:w="2478" w:type="dxa"/>
            <w:vAlign w:val="center"/>
          </w:tcPr>
          <w:p w:rsidR="001674A8" w:rsidRPr="00D96BA8" w:rsidRDefault="00277B18" w:rsidP="00012B04">
            <w:pPr>
              <w:jc w:val="center"/>
              <w:rPr>
                <w:sz w:val="22"/>
                <w:szCs w:val="22"/>
              </w:rPr>
            </w:pPr>
            <w:r>
              <w:rPr>
                <w:sz w:val="22"/>
                <w:szCs w:val="22"/>
              </w:rPr>
              <w:t>12,25%</w:t>
            </w:r>
          </w:p>
        </w:tc>
      </w:tr>
      <w:tr w:rsidR="001674A8" w:rsidRPr="00DB58F4" w:rsidTr="00347F4F">
        <w:trPr>
          <w:trHeight w:val="20"/>
        </w:trPr>
        <w:tc>
          <w:tcPr>
            <w:tcW w:w="719" w:type="dxa"/>
            <w:vMerge/>
            <w:vAlign w:val="center"/>
          </w:tcPr>
          <w:p w:rsidR="001674A8" w:rsidRDefault="001674A8">
            <w:pPr>
              <w:rPr>
                <w:sz w:val="22"/>
                <w:szCs w:val="22"/>
              </w:rPr>
            </w:pPr>
          </w:p>
        </w:tc>
        <w:tc>
          <w:tcPr>
            <w:tcW w:w="4677" w:type="dxa"/>
            <w:vMerge/>
            <w:vAlign w:val="center"/>
          </w:tcPr>
          <w:p w:rsidR="001674A8" w:rsidRPr="00DB58F4" w:rsidRDefault="001674A8" w:rsidP="00EE0B82">
            <w:pPr>
              <w:rPr>
                <w:sz w:val="22"/>
                <w:szCs w:val="22"/>
              </w:rPr>
            </w:pPr>
          </w:p>
        </w:tc>
        <w:tc>
          <w:tcPr>
            <w:tcW w:w="2976" w:type="dxa"/>
            <w:vAlign w:val="center"/>
          </w:tcPr>
          <w:p w:rsidR="001674A8" w:rsidRPr="00017E8D" w:rsidRDefault="001674A8" w:rsidP="00257C58">
            <w:pPr>
              <w:jc w:val="center"/>
              <w:rPr>
                <w:sz w:val="22"/>
                <w:szCs w:val="22"/>
              </w:rPr>
            </w:pPr>
            <w:r w:rsidRPr="00017E8D">
              <w:rPr>
                <w:sz w:val="22"/>
                <w:szCs w:val="22"/>
              </w:rPr>
              <w:t>до 15 лет</w:t>
            </w:r>
          </w:p>
        </w:tc>
        <w:tc>
          <w:tcPr>
            <w:tcW w:w="2480" w:type="dxa"/>
            <w:gridSpan w:val="2"/>
            <w:vAlign w:val="center"/>
          </w:tcPr>
          <w:p w:rsidR="001674A8" w:rsidRPr="00D96BA8" w:rsidRDefault="00277B18" w:rsidP="00012B04">
            <w:pPr>
              <w:jc w:val="center"/>
              <w:rPr>
                <w:sz w:val="22"/>
                <w:szCs w:val="22"/>
              </w:rPr>
            </w:pPr>
            <w:r>
              <w:rPr>
                <w:sz w:val="22"/>
                <w:szCs w:val="22"/>
              </w:rPr>
              <w:t>13,50%</w:t>
            </w:r>
          </w:p>
        </w:tc>
        <w:tc>
          <w:tcPr>
            <w:tcW w:w="2478" w:type="dxa"/>
            <w:vAlign w:val="center"/>
          </w:tcPr>
          <w:p w:rsidR="001674A8" w:rsidRPr="00D96BA8" w:rsidRDefault="00277B18" w:rsidP="00012B04">
            <w:pPr>
              <w:jc w:val="center"/>
              <w:rPr>
                <w:sz w:val="22"/>
                <w:szCs w:val="22"/>
              </w:rPr>
            </w:pPr>
            <w:r>
              <w:rPr>
                <w:sz w:val="22"/>
                <w:szCs w:val="22"/>
              </w:rPr>
              <w:t>13,25%</w:t>
            </w:r>
          </w:p>
        </w:tc>
        <w:tc>
          <w:tcPr>
            <w:tcW w:w="2478" w:type="dxa"/>
            <w:vAlign w:val="center"/>
          </w:tcPr>
          <w:p w:rsidR="001674A8" w:rsidRPr="00D96BA8" w:rsidRDefault="00277B18" w:rsidP="00012B04">
            <w:pPr>
              <w:jc w:val="center"/>
              <w:rPr>
                <w:sz w:val="22"/>
                <w:szCs w:val="22"/>
              </w:rPr>
            </w:pPr>
            <w:r>
              <w:rPr>
                <w:sz w:val="22"/>
                <w:szCs w:val="22"/>
              </w:rPr>
              <w:t>13,00%</w:t>
            </w:r>
          </w:p>
        </w:tc>
      </w:tr>
      <w:tr w:rsidR="001674A8" w:rsidRPr="00DB58F4" w:rsidTr="00347F4F">
        <w:trPr>
          <w:trHeight w:val="20"/>
        </w:trPr>
        <w:tc>
          <w:tcPr>
            <w:tcW w:w="719" w:type="dxa"/>
            <w:vMerge/>
            <w:vAlign w:val="center"/>
          </w:tcPr>
          <w:p w:rsidR="001674A8" w:rsidRDefault="001674A8">
            <w:pPr>
              <w:rPr>
                <w:sz w:val="22"/>
                <w:szCs w:val="22"/>
              </w:rPr>
            </w:pPr>
          </w:p>
        </w:tc>
        <w:tc>
          <w:tcPr>
            <w:tcW w:w="4677" w:type="dxa"/>
            <w:vMerge/>
            <w:vAlign w:val="center"/>
          </w:tcPr>
          <w:p w:rsidR="001674A8" w:rsidRPr="00DB58F4" w:rsidRDefault="001674A8" w:rsidP="00EE0B82">
            <w:pPr>
              <w:rPr>
                <w:sz w:val="22"/>
                <w:szCs w:val="22"/>
              </w:rPr>
            </w:pPr>
          </w:p>
        </w:tc>
        <w:tc>
          <w:tcPr>
            <w:tcW w:w="2976" w:type="dxa"/>
            <w:vAlign w:val="center"/>
          </w:tcPr>
          <w:p w:rsidR="001674A8" w:rsidRPr="00017E8D" w:rsidRDefault="001674A8" w:rsidP="00257C58">
            <w:pPr>
              <w:jc w:val="center"/>
              <w:rPr>
                <w:sz w:val="22"/>
                <w:szCs w:val="22"/>
              </w:rPr>
            </w:pPr>
            <w:r w:rsidRPr="00017E8D">
              <w:rPr>
                <w:sz w:val="22"/>
                <w:szCs w:val="22"/>
              </w:rPr>
              <w:t>до 25 лет</w:t>
            </w:r>
          </w:p>
        </w:tc>
        <w:tc>
          <w:tcPr>
            <w:tcW w:w="2480" w:type="dxa"/>
            <w:gridSpan w:val="2"/>
            <w:vAlign w:val="center"/>
          </w:tcPr>
          <w:p w:rsidR="001674A8" w:rsidRPr="00D96BA8" w:rsidRDefault="00277B18" w:rsidP="00012B04">
            <w:pPr>
              <w:jc w:val="center"/>
              <w:rPr>
                <w:sz w:val="22"/>
                <w:szCs w:val="22"/>
              </w:rPr>
            </w:pPr>
            <w:r>
              <w:rPr>
                <w:sz w:val="22"/>
                <w:szCs w:val="22"/>
              </w:rPr>
              <w:t>13,75%</w:t>
            </w:r>
          </w:p>
        </w:tc>
        <w:tc>
          <w:tcPr>
            <w:tcW w:w="2478" w:type="dxa"/>
            <w:vAlign w:val="center"/>
          </w:tcPr>
          <w:p w:rsidR="001674A8" w:rsidRPr="00D96BA8" w:rsidRDefault="00277B18" w:rsidP="00012B04">
            <w:pPr>
              <w:jc w:val="center"/>
              <w:rPr>
                <w:sz w:val="22"/>
                <w:szCs w:val="22"/>
              </w:rPr>
            </w:pPr>
            <w:r>
              <w:rPr>
                <w:sz w:val="22"/>
                <w:szCs w:val="22"/>
              </w:rPr>
              <w:t>13,50%</w:t>
            </w:r>
          </w:p>
        </w:tc>
        <w:tc>
          <w:tcPr>
            <w:tcW w:w="2478" w:type="dxa"/>
            <w:vAlign w:val="center"/>
          </w:tcPr>
          <w:p w:rsidR="001674A8" w:rsidRPr="00D96BA8" w:rsidRDefault="00277B18" w:rsidP="00012B04">
            <w:pPr>
              <w:jc w:val="center"/>
              <w:rPr>
                <w:sz w:val="22"/>
                <w:szCs w:val="22"/>
              </w:rPr>
            </w:pPr>
            <w:r>
              <w:rPr>
                <w:sz w:val="22"/>
                <w:szCs w:val="22"/>
              </w:rPr>
              <w:t>13,25%</w:t>
            </w:r>
          </w:p>
        </w:tc>
      </w:tr>
      <w:tr w:rsidR="00B47ED2" w:rsidRPr="00DB58F4" w:rsidTr="00347F4F">
        <w:trPr>
          <w:trHeight w:val="149"/>
        </w:trPr>
        <w:tc>
          <w:tcPr>
            <w:tcW w:w="719" w:type="dxa"/>
            <w:vMerge/>
            <w:vAlign w:val="center"/>
          </w:tcPr>
          <w:p w:rsidR="00C43AC4" w:rsidRDefault="00C43AC4">
            <w:pPr>
              <w:rPr>
                <w:sz w:val="22"/>
                <w:szCs w:val="22"/>
              </w:rPr>
            </w:pPr>
          </w:p>
        </w:tc>
        <w:tc>
          <w:tcPr>
            <w:tcW w:w="4677" w:type="dxa"/>
            <w:vMerge/>
            <w:vAlign w:val="center"/>
          </w:tcPr>
          <w:p w:rsidR="00B47ED2" w:rsidRPr="00DB58F4" w:rsidRDefault="00B47ED2" w:rsidP="00EE0B82">
            <w:pPr>
              <w:rPr>
                <w:sz w:val="22"/>
                <w:szCs w:val="22"/>
              </w:rPr>
            </w:pPr>
          </w:p>
        </w:tc>
        <w:tc>
          <w:tcPr>
            <w:tcW w:w="5442" w:type="dxa"/>
            <w:gridSpan w:val="2"/>
          </w:tcPr>
          <w:p w:rsidR="00B47ED2" w:rsidRPr="00DB58F4" w:rsidRDefault="00B47ED2" w:rsidP="00C31270">
            <w:pPr>
              <w:keepNext/>
              <w:outlineLvl w:val="2"/>
              <w:rPr>
                <w:sz w:val="22"/>
                <w:szCs w:val="22"/>
              </w:rPr>
            </w:pPr>
            <w:r w:rsidRPr="00DB58F4">
              <w:rPr>
                <w:sz w:val="22"/>
                <w:szCs w:val="22"/>
              </w:rPr>
              <w:t>При отсутствии личного страхования</w:t>
            </w:r>
          </w:p>
        </w:tc>
        <w:tc>
          <w:tcPr>
            <w:tcW w:w="4970" w:type="dxa"/>
            <w:gridSpan w:val="3"/>
            <w:vAlign w:val="center"/>
          </w:tcPr>
          <w:p w:rsidR="00B47ED2" w:rsidRPr="00DB58F4" w:rsidRDefault="00B47ED2" w:rsidP="0030698E">
            <w:pPr>
              <w:keepNext/>
              <w:jc w:val="center"/>
              <w:outlineLvl w:val="2"/>
              <w:rPr>
                <w:sz w:val="22"/>
                <w:szCs w:val="22"/>
                <w:highlight w:val="yellow"/>
              </w:rPr>
            </w:pPr>
            <w:r w:rsidRPr="00DB58F4">
              <w:rPr>
                <w:sz w:val="22"/>
                <w:szCs w:val="22"/>
              </w:rPr>
              <w:t>+4</w:t>
            </w:r>
            <w:r w:rsidR="001C0A23">
              <w:rPr>
                <w:sz w:val="22"/>
                <w:szCs w:val="22"/>
              </w:rPr>
              <w:t>,00</w:t>
            </w:r>
            <w:r w:rsidRPr="00DB58F4">
              <w:rPr>
                <w:sz w:val="22"/>
                <w:szCs w:val="22"/>
              </w:rPr>
              <w:t>% годовых</w:t>
            </w:r>
          </w:p>
        </w:tc>
      </w:tr>
      <w:tr w:rsidR="00B47ED2" w:rsidRPr="00DB58F4" w:rsidTr="00347F4F">
        <w:trPr>
          <w:trHeight w:val="149"/>
        </w:trPr>
        <w:tc>
          <w:tcPr>
            <w:tcW w:w="719" w:type="dxa"/>
            <w:vMerge/>
            <w:vAlign w:val="center"/>
          </w:tcPr>
          <w:p w:rsidR="00C43AC4" w:rsidRDefault="00C43AC4">
            <w:pPr>
              <w:rPr>
                <w:sz w:val="22"/>
                <w:szCs w:val="22"/>
              </w:rPr>
            </w:pPr>
          </w:p>
        </w:tc>
        <w:tc>
          <w:tcPr>
            <w:tcW w:w="4677" w:type="dxa"/>
            <w:vMerge/>
            <w:vAlign w:val="center"/>
          </w:tcPr>
          <w:p w:rsidR="00B47ED2" w:rsidRPr="00DB58F4" w:rsidRDefault="00B47ED2" w:rsidP="00EE0B82">
            <w:pPr>
              <w:rPr>
                <w:sz w:val="22"/>
                <w:szCs w:val="22"/>
              </w:rPr>
            </w:pPr>
          </w:p>
        </w:tc>
        <w:tc>
          <w:tcPr>
            <w:tcW w:w="5442" w:type="dxa"/>
            <w:gridSpan w:val="2"/>
          </w:tcPr>
          <w:p w:rsidR="00C43AC4" w:rsidRDefault="00B47ED2">
            <w:pPr>
              <w:keepNext/>
              <w:outlineLvl w:val="2"/>
              <w:rPr>
                <w:sz w:val="22"/>
                <w:szCs w:val="22"/>
              </w:rPr>
            </w:pPr>
            <w:r w:rsidRPr="00DB58F4">
              <w:rPr>
                <w:sz w:val="22"/>
                <w:szCs w:val="22"/>
              </w:rPr>
              <w:t>При отсутствии титульного страхования</w:t>
            </w:r>
          </w:p>
        </w:tc>
        <w:tc>
          <w:tcPr>
            <w:tcW w:w="4970" w:type="dxa"/>
            <w:gridSpan w:val="3"/>
            <w:vAlign w:val="center"/>
          </w:tcPr>
          <w:p w:rsidR="00B47ED2" w:rsidRPr="00DB58F4" w:rsidRDefault="00B47ED2" w:rsidP="0030698E">
            <w:pPr>
              <w:keepNext/>
              <w:jc w:val="center"/>
              <w:outlineLvl w:val="2"/>
              <w:rPr>
                <w:sz w:val="22"/>
                <w:szCs w:val="22"/>
                <w:highlight w:val="yellow"/>
              </w:rPr>
            </w:pPr>
            <w:r w:rsidRPr="00DB58F4">
              <w:rPr>
                <w:sz w:val="22"/>
                <w:szCs w:val="22"/>
              </w:rPr>
              <w:t>+1</w:t>
            </w:r>
            <w:r w:rsidR="001C0A23">
              <w:rPr>
                <w:sz w:val="22"/>
                <w:szCs w:val="22"/>
              </w:rPr>
              <w:t>,00</w:t>
            </w:r>
            <w:r w:rsidRPr="00DB58F4">
              <w:rPr>
                <w:sz w:val="22"/>
                <w:szCs w:val="22"/>
              </w:rPr>
              <w:t>% годовых</w:t>
            </w:r>
          </w:p>
        </w:tc>
      </w:tr>
      <w:tr w:rsidR="00B47ED2" w:rsidRPr="00DB58F4" w:rsidTr="00347F4F">
        <w:trPr>
          <w:trHeight w:val="255"/>
        </w:trPr>
        <w:tc>
          <w:tcPr>
            <w:tcW w:w="719" w:type="dxa"/>
            <w:vAlign w:val="center"/>
          </w:tcPr>
          <w:p w:rsidR="00C43AC4" w:rsidRDefault="00B47ED2">
            <w:pPr>
              <w:rPr>
                <w:sz w:val="22"/>
                <w:szCs w:val="22"/>
              </w:rPr>
            </w:pPr>
            <w:r w:rsidRPr="00DB58F4">
              <w:rPr>
                <w:sz w:val="22"/>
                <w:szCs w:val="22"/>
              </w:rPr>
              <w:t>1.</w:t>
            </w:r>
            <w:r w:rsidR="00862F75">
              <w:rPr>
                <w:sz w:val="22"/>
                <w:szCs w:val="22"/>
              </w:rPr>
              <w:t>7</w:t>
            </w:r>
          </w:p>
        </w:tc>
        <w:tc>
          <w:tcPr>
            <w:tcW w:w="4677" w:type="dxa"/>
            <w:vAlign w:val="center"/>
          </w:tcPr>
          <w:p w:rsidR="00B47ED2" w:rsidRPr="00DB58F4" w:rsidRDefault="00B47ED2" w:rsidP="00EE0B82">
            <w:pPr>
              <w:rPr>
                <w:sz w:val="22"/>
                <w:szCs w:val="22"/>
              </w:rPr>
            </w:pPr>
            <w:r w:rsidRPr="00DB58F4">
              <w:rPr>
                <w:sz w:val="22"/>
                <w:szCs w:val="22"/>
              </w:rPr>
              <w:t>Штраф за неисполнение обязательств по кредитному договору (по возврату кредита и/или уплате начисленных процентов за пользование кредитом)</w:t>
            </w:r>
          </w:p>
        </w:tc>
        <w:tc>
          <w:tcPr>
            <w:tcW w:w="10412" w:type="dxa"/>
            <w:gridSpan w:val="5"/>
            <w:vAlign w:val="center"/>
          </w:tcPr>
          <w:p w:rsidR="00B47ED2" w:rsidRPr="00DB58F4" w:rsidRDefault="00B47ED2" w:rsidP="00217347">
            <w:pPr>
              <w:jc w:val="center"/>
              <w:rPr>
                <w:sz w:val="22"/>
                <w:szCs w:val="22"/>
              </w:rPr>
            </w:pPr>
            <w:r w:rsidRPr="00DB58F4">
              <w:rPr>
                <w:sz w:val="22"/>
                <w:szCs w:val="22"/>
              </w:rPr>
              <w:t>0,2% от суммы просроченной задолженности ежедневно</w:t>
            </w:r>
          </w:p>
        </w:tc>
      </w:tr>
      <w:tr w:rsidR="00B47ED2" w:rsidRPr="00DB58F4" w:rsidTr="00347F4F">
        <w:trPr>
          <w:trHeight w:val="255"/>
        </w:trPr>
        <w:tc>
          <w:tcPr>
            <w:tcW w:w="719" w:type="dxa"/>
            <w:vAlign w:val="center"/>
          </w:tcPr>
          <w:p w:rsidR="00C43AC4" w:rsidRDefault="00B47ED2">
            <w:pPr>
              <w:rPr>
                <w:sz w:val="22"/>
                <w:szCs w:val="22"/>
              </w:rPr>
            </w:pPr>
            <w:r w:rsidRPr="00DB58F4">
              <w:rPr>
                <w:sz w:val="22"/>
                <w:szCs w:val="22"/>
              </w:rPr>
              <w:t>1.</w:t>
            </w:r>
            <w:r w:rsidR="00862F75">
              <w:rPr>
                <w:sz w:val="22"/>
                <w:szCs w:val="22"/>
              </w:rPr>
              <w:t>8</w:t>
            </w:r>
          </w:p>
        </w:tc>
        <w:tc>
          <w:tcPr>
            <w:tcW w:w="4677" w:type="dxa"/>
            <w:vAlign w:val="center"/>
          </w:tcPr>
          <w:p w:rsidR="00B47ED2" w:rsidRPr="00DB58F4" w:rsidRDefault="00B47ED2" w:rsidP="00EE0B82">
            <w:pPr>
              <w:keepNext/>
              <w:outlineLvl w:val="2"/>
              <w:rPr>
                <w:sz w:val="22"/>
                <w:szCs w:val="22"/>
              </w:rPr>
            </w:pPr>
            <w:proofErr w:type="gramStart"/>
            <w:r w:rsidRPr="00DB58F4">
              <w:rPr>
                <w:sz w:val="22"/>
                <w:szCs w:val="22"/>
              </w:rPr>
              <w:t>Штрафные санкции за нарушение обязанности по своевременному продлению срока действия заключенных договоров страхования (оплаты очередной страховой премии (страховых взносов)) за каждый факт нарушения сроков продления Договоров (полисов) страхования (оплаты очередной страховой премии (страховых взносов)</w:t>
            </w:r>
            <w:proofErr w:type="gramEnd"/>
          </w:p>
        </w:tc>
        <w:tc>
          <w:tcPr>
            <w:tcW w:w="10412" w:type="dxa"/>
            <w:gridSpan w:val="5"/>
            <w:vAlign w:val="center"/>
          </w:tcPr>
          <w:p w:rsidR="00B47ED2" w:rsidRPr="00DB58F4" w:rsidRDefault="00B47ED2" w:rsidP="00A85AE5">
            <w:pPr>
              <w:keepNext/>
              <w:jc w:val="center"/>
              <w:outlineLvl w:val="2"/>
              <w:rPr>
                <w:sz w:val="22"/>
                <w:szCs w:val="22"/>
                <w:highlight w:val="yellow"/>
              </w:rPr>
            </w:pPr>
            <w:r>
              <w:rPr>
                <w:sz w:val="22"/>
                <w:szCs w:val="22"/>
              </w:rPr>
              <w:t>10 000</w:t>
            </w:r>
            <w:r w:rsidRPr="00DB58F4">
              <w:rPr>
                <w:sz w:val="22"/>
                <w:szCs w:val="22"/>
              </w:rPr>
              <w:t xml:space="preserve"> рублей</w:t>
            </w:r>
            <w:r>
              <w:rPr>
                <w:sz w:val="22"/>
                <w:szCs w:val="22"/>
              </w:rPr>
              <w:t xml:space="preserve"> РФ</w:t>
            </w:r>
          </w:p>
        </w:tc>
      </w:tr>
      <w:tr w:rsidR="00347F4F" w:rsidRPr="00DB58F4" w:rsidTr="00347F4F">
        <w:trPr>
          <w:trHeight w:val="255"/>
        </w:trPr>
        <w:tc>
          <w:tcPr>
            <w:tcW w:w="719" w:type="dxa"/>
            <w:vAlign w:val="center"/>
          </w:tcPr>
          <w:p w:rsidR="00347F4F" w:rsidRPr="00DB58F4" w:rsidRDefault="00347F4F">
            <w:pPr>
              <w:rPr>
                <w:sz w:val="22"/>
                <w:szCs w:val="22"/>
              </w:rPr>
            </w:pPr>
            <w:r>
              <w:rPr>
                <w:sz w:val="22"/>
                <w:szCs w:val="22"/>
                <w:lang w:val="en-US"/>
              </w:rPr>
              <w:t>1</w:t>
            </w:r>
            <w:r>
              <w:rPr>
                <w:sz w:val="22"/>
                <w:szCs w:val="22"/>
              </w:rPr>
              <w:t>.</w:t>
            </w:r>
            <w:r w:rsidR="00862F75">
              <w:rPr>
                <w:sz w:val="22"/>
                <w:szCs w:val="22"/>
              </w:rPr>
              <w:t>9</w:t>
            </w:r>
          </w:p>
        </w:tc>
        <w:tc>
          <w:tcPr>
            <w:tcW w:w="4677" w:type="dxa"/>
            <w:vAlign w:val="center"/>
          </w:tcPr>
          <w:p w:rsidR="00347F4F" w:rsidRPr="00DB58F4" w:rsidRDefault="00347F4F" w:rsidP="00EE0B82">
            <w:pPr>
              <w:keepNext/>
              <w:outlineLvl w:val="2"/>
              <w:rPr>
                <w:sz w:val="22"/>
                <w:szCs w:val="22"/>
              </w:rPr>
            </w:pPr>
            <w:r>
              <w:rPr>
                <w:sz w:val="22"/>
                <w:szCs w:val="22"/>
              </w:rPr>
              <w:t>Штрафные санкции за неисполнение или ненадлежащее исполнение обязательств по возмещению Заемщиком Кредитору расходов, понесенных на оплату страхового взноса</w:t>
            </w:r>
          </w:p>
        </w:tc>
        <w:tc>
          <w:tcPr>
            <w:tcW w:w="10412" w:type="dxa"/>
            <w:gridSpan w:val="5"/>
            <w:vAlign w:val="center"/>
          </w:tcPr>
          <w:p w:rsidR="00347F4F" w:rsidRPr="00DB58F4" w:rsidRDefault="00347F4F" w:rsidP="00A85AE5">
            <w:pPr>
              <w:keepNext/>
              <w:jc w:val="center"/>
              <w:outlineLvl w:val="2"/>
              <w:rPr>
                <w:bCs/>
                <w:sz w:val="22"/>
                <w:szCs w:val="22"/>
              </w:rPr>
            </w:pPr>
            <w:r w:rsidRPr="00DB58F4">
              <w:rPr>
                <w:sz w:val="22"/>
                <w:szCs w:val="22"/>
              </w:rPr>
              <w:t xml:space="preserve">0,2% от </w:t>
            </w:r>
            <w:r>
              <w:rPr>
                <w:sz w:val="22"/>
                <w:szCs w:val="22"/>
              </w:rPr>
              <w:t>суммы страхового взноса</w:t>
            </w:r>
            <w:r w:rsidRPr="00DB58F4">
              <w:rPr>
                <w:sz w:val="22"/>
                <w:szCs w:val="22"/>
              </w:rPr>
              <w:t xml:space="preserve"> ежедневно</w:t>
            </w:r>
          </w:p>
        </w:tc>
      </w:tr>
      <w:tr w:rsidR="00347F4F" w:rsidRPr="00DB58F4" w:rsidTr="0038396F">
        <w:trPr>
          <w:trHeight w:val="569"/>
        </w:trPr>
        <w:tc>
          <w:tcPr>
            <w:tcW w:w="15808" w:type="dxa"/>
            <w:gridSpan w:val="7"/>
            <w:vAlign w:val="center"/>
          </w:tcPr>
          <w:p w:rsidR="00347F4F" w:rsidRDefault="00347F4F">
            <w:pPr>
              <w:keepNext/>
              <w:numPr>
                <w:ilvl w:val="0"/>
                <w:numId w:val="3"/>
              </w:numPr>
              <w:outlineLvl w:val="2"/>
              <w:rPr>
                <w:bCs/>
                <w:sz w:val="22"/>
                <w:szCs w:val="22"/>
              </w:rPr>
            </w:pPr>
            <w:r w:rsidRPr="00DB58F4">
              <w:rPr>
                <w:bCs/>
                <w:sz w:val="22"/>
                <w:szCs w:val="22"/>
              </w:rPr>
              <w:t>Дополнительные комиссии</w:t>
            </w:r>
            <w:r>
              <w:rPr>
                <w:rStyle w:val="ac"/>
                <w:bCs/>
                <w:sz w:val="22"/>
                <w:szCs w:val="22"/>
              </w:rPr>
              <w:footnoteReference w:id="3"/>
            </w:r>
          </w:p>
        </w:tc>
      </w:tr>
      <w:tr w:rsidR="00347F4F" w:rsidRPr="00DB58F4" w:rsidTr="00347F4F">
        <w:trPr>
          <w:trHeight w:val="563"/>
        </w:trPr>
        <w:tc>
          <w:tcPr>
            <w:tcW w:w="719" w:type="dxa"/>
            <w:vAlign w:val="center"/>
          </w:tcPr>
          <w:p w:rsidR="00347F4F" w:rsidRPr="00DB58F4" w:rsidRDefault="00347F4F" w:rsidP="00DE3103">
            <w:pPr>
              <w:rPr>
                <w:sz w:val="22"/>
                <w:szCs w:val="22"/>
              </w:rPr>
            </w:pPr>
            <w:r w:rsidRPr="00DB58F4">
              <w:rPr>
                <w:sz w:val="22"/>
                <w:szCs w:val="22"/>
              </w:rPr>
              <w:t>2.1</w:t>
            </w:r>
          </w:p>
        </w:tc>
        <w:tc>
          <w:tcPr>
            <w:tcW w:w="4677" w:type="dxa"/>
            <w:vAlign w:val="center"/>
          </w:tcPr>
          <w:p w:rsidR="00347F4F" w:rsidRPr="00DB58F4" w:rsidRDefault="00347F4F" w:rsidP="00DE3103">
            <w:pPr>
              <w:keepNext/>
              <w:outlineLvl w:val="2"/>
              <w:rPr>
                <w:sz w:val="22"/>
                <w:szCs w:val="22"/>
              </w:rPr>
            </w:pPr>
            <w:r w:rsidRPr="00DB58F4">
              <w:rPr>
                <w:sz w:val="22"/>
                <w:szCs w:val="22"/>
              </w:rPr>
              <w:t>Оформление пакета страховых услуг (ежегодно)</w:t>
            </w:r>
          </w:p>
        </w:tc>
        <w:tc>
          <w:tcPr>
            <w:tcW w:w="10412" w:type="dxa"/>
            <w:gridSpan w:val="5"/>
            <w:vAlign w:val="center"/>
          </w:tcPr>
          <w:p w:rsidR="00347F4F" w:rsidRPr="00DB58F4" w:rsidRDefault="00347F4F" w:rsidP="00DE3103">
            <w:pPr>
              <w:keepNext/>
              <w:jc w:val="center"/>
              <w:outlineLvl w:val="2"/>
              <w:rPr>
                <w:bCs/>
                <w:sz w:val="22"/>
                <w:szCs w:val="22"/>
              </w:rPr>
            </w:pPr>
            <w:r w:rsidRPr="00DB58F4">
              <w:rPr>
                <w:bCs/>
                <w:sz w:val="22"/>
                <w:szCs w:val="22"/>
              </w:rPr>
              <w:t>В соответствии с тарифами страховых компаний</w:t>
            </w:r>
          </w:p>
        </w:tc>
      </w:tr>
      <w:tr w:rsidR="00347F4F" w:rsidRPr="00DB58F4" w:rsidTr="00347F4F">
        <w:trPr>
          <w:trHeight w:val="255"/>
        </w:trPr>
        <w:tc>
          <w:tcPr>
            <w:tcW w:w="719" w:type="dxa"/>
            <w:vAlign w:val="center"/>
          </w:tcPr>
          <w:p w:rsidR="00347F4F" w:rsidRPr="00DB58F4" w:rsidRDefault="00347F4F" w:rsidP="00DE3103">
            <w:pPr>
              <w:rPr>
                <w:sz w:val="22"/>
                <w:szCs w:val="22"/>
              </w:rPr>
            </w:pPr>
            <w:r w:rsidRPr="00DB58F4">
              <w:rPr>
                <w:sz w:val="22"/>
                <w:szCs w:val="22"/>
              </w:rPr>
              <w:t>2.2</w:t>
            </w:r>
          </w:p>
        </w:tc>
        <w:tc>
          <w:tcPr>
            <w:tcW w:w="4677" w:type="dxa"/>
            <w:vAlign w:val="center"/>
          </w:tcPr>
          <w:p w:rsidR="00347F4F" w:rsidRPr="00DB58F4" w:rsidRDefault="00347F4F" w:rsidP="00DE3103">
            <w:pPr>
              <w:keepNext/>
              <w:outlineLvl w:val="2"/>
              <w:rPr>
                <w:sz w:val="22"/>
                <w:szCs w:val="22"/>
              </w:rPr>
            </w:pPr>
            <w:r w:rsidRPr="00DB58F4">
              <w:rPr>
                <w:sz w:val="22"/>
                <w:szCs w:val="22"/>
              </w:rPr>
              <w:t>Оценка недвижимости лицензированным оценщиком</w:t>
            </w:r>
          </w:p>
        </w:tc>
        <w:tc>
          <w:tcPr>
            <w:tcW w:w="10412" w:type="dxa"/>
            <w:gridSpan w:val="5"/>
            <w:vAlign w:val="center"/>
          </w:tcPr>
          <w:p w:rsidR="00347F4F" w:rsidRPr="00DB58F4" w:rsidRDefault="00347F4F" w:rsidP="00DE3103">
            <w:pPr>
              <w:keepNext/>
              <w:jc w:val="center"/>
              <w:outlineLvl w:val="2"/>
              <w:rPr>
                <w:bCs/>
                <w:sz w:val="22"/>
                <w:szCs w:val="22"/>
              </w:rPr>
            </w:pPr>
            <w:r w:rsidRPr="00DB58F4">
              <w:rPr>
                <w:bCs/>
                <w:sz w:val="22"/>
                <w:szCs w:val="22"/>
              </w:rPr>
              <w:t>В соответствии с тарифами организации-оценщика</w:t>
            </w:r>
          </w:p>
        </w:tc>
      </w:tr>
    </w:tbl>
    <w:p w:rsidR="00DB229B" w:rsidRPr="001A7100" w:rsidRDefault="00721C3E" w:rsidP="009C0F7E">
      <w:r>
        <w:tab/>
      </w:r>
      <w:r>
        <w:tab/>
      </w:r>
    </w:p>
    <w:sectPr w:rsidR="00DB229B" w:rsidRPr="001A7100" w:rsidSect="009C0F7E">
      <w:pgSz w:w="16838" w:h="11906" w:orient="landscape"/>
      <w:pgMar w:top="360" w:right="1134"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3DC" w:rsidRDefault="005D63DC" w:rsidP="00D3114C">
      <w:r>
        <w:separator/>
      </w:r>
    </w:p>
  </w:endnote>
  <w:endnote w:type="continuationSeparator" w:id="0">
    <w:p w:rsidR="005D63DC" w:rsidRDefault="005D63DC" w:rsidP="00D3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3DC" w:rsidRDefault="005D63DC" w:rsidP="00D3114C">
      <w:r>
        <w:separator/>
      </w:r>
    </w:p>
  </w:footnote>
  <w:footnote w:type="continuationSeparator" w:id="0">
    <w:p w:rsidR="005D63DC" w:rsidRDefault="005D63DC" w:rsidP="00D3114C">
      <w:r>
        <w:continuationSeparator/>
      </w:r>
    </w:p>
  </w:footnote>
  <w:footnote w:id="1">
    <w:p w:rsidR="00793958" w:rsidRDefault="00793958">
      <w:pPr>
        <w:pStyle w:val="aa"/>
      </w:pPr>
      <w:r>
        <w:rPr>
          <w:rStyle w:val="ac"/>
        </w:rPr>
        <w:footnoteRef/>
      </w:r>
      <w:r>
        <w:t xml:space="preserve"> Максимальная сумма кредита для каждого Заемщика/ Созаемщиков определяется на </w:t>
      </w:r>
      <w:proofErr w:type="gramStart"/>
      <w:r>
        <w:t>основании</w:t>
      </w:r>
      <w:proofErr w:type="gramEnd"/>
      <w:r>
        <w:t xml:space="preserve"> его (их) платежеспособности.</w:t>
      </w:r>
    </w:p>
  </w:footnote>
  <w:footnote w:id="2">
    <w:p w:rsidR="00A0411F" w:rsidRDefault="00A0411F">
      <w:pPr>
        <w:pStyle w:val="aa"/>
      </w:pPr>
      <w:r>
        <w:rPr>
          <w:rStyle w:val="ac"/>
        </w:rPr>
        <w:footnoteRef/>
      </w:r>
      <w:r>
        <w:t xml:space="preserve"> Стоимость закладываемой недвижимости определяется в соответствии с отчетом об оценке.</w:t>
      </w:r>
    </w:p>
  </w:footnote>
  <w:footnote w:id="3">
    <w:p w:rsidR="00347F4F" w:rsidRDefault="00347F4F">
      <w:pPr>
        <w:pStyle w:val="aa"/>
      </w:pPr>
      <w:r>
        <w:rPr>
          <w:rStyle w:val="ac"/>
        </w:rPr>
        <w:footnoteRef/>
      </w:r>
      <w:r>
        <w:t xml:space="preserve"> Комиссии, уплачиваемые Заемщиком/ Созаемщиками сторонним организациям.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45CE8"/>
    <w:multiLevelType w:val="hybridMultilevel"/>
    <w:tmpl w:val="F1922C84"/>
    <w:lvl w:ilvl="0" w:tplc="04190011">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1">
    <w:nsid w:val="4D156F52"/>
    <w:multiLevelType w:val="hybridMultilevel"/>
    <w:tmpl w:val="95EAB6DC"/>
    <w:lvl w:ilvl="0" w:tplc="FBC451E8">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2">
    <w:nsid w:val="628003CC"/>
    <w:multiLevelType w:val="hybridMultilevel"/>
    <w:tmpl w:val="BB96D982"/>
    <w:lvl w:ilvl="0" w:tplc="BFA4B290">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3">
    <w:nsid w:val="73C77995"/>
    <w:multiLevelType w:val="hybridMultilevel"/>
    <w:tmpl w:val="57B633B6"/>
    <w:lvl w:ilvl="0" w:tplc="0419000D">
      <w:start w:val="1"/>
      <w:numFmt w:val="bullet"/>
      <w:lvlText w:val=""/>
      <w:lvlJc w:val="left"/>
      <w:pPr>
        <w:ind w:left="942" w:hanging="360"/>
      </w:pPr>
      <w:rPr>
        <w:rFonts w:ascii="Wingdings" w:hAnsi="Wingdings" w:hint="default"/>
      </w:rPr>
    </w:lvl>
    <w:lvl w:ilvl="1" w:tplc="04190003" w:tentative="1">
      <w:start w:val="1"/>
      <w:numFmt w:val="bullet"/>
      <w:lvlText w:val="o"/>
      <w:lvlJc w:val="left"/>
      <w:pPr>
        <w:ind w:left="1662" w:hanging="360"/>
      </w:pPr>
      <w:rPr>
        <w:rFonts w:ascii="Courier New" w:hAnsi="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4">
    <w:nsid w:val="7FED6BD2"/>
    <w:multiLevelType w:val="hybridMultilevel"/>
    <w:tmpl w:val="93907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8"/>
  <w:characterSpacingControl w:val="doNotCompress"/>
  <w:footnotePr>
    <w:footnote w:id="-1"/>
    <w:footnote w:id="0"/>
  </w:footnotePr>
  <w:endnotePr>
    <w:endnote w:id="-1"/>
    <w:endnote w:id="0"/>
  </w:endnotePr>
  <w:compat/>
  <w:rsids>
    <w:rsidRoot w:val="00DA099A"/>
    <w:rsid w:val="00001E70"/>
    <w:rsid w:val="00002F3F"/>
    <w:rsid w:val="00012B04"/>
    <w:rsid w:val="000319AD"/>
    <w:rsid w:val="00034AAE"/>
    <w:rsid w:val="00056B39"/>
    <w:rsid w:val="00064F71"/>
    <w:rsid w:val="00067311"/>
    <w:rsid w:val="00072B76"/>
    <w:rsid w:val="0008006C"/>
    <w:rsid w:val="0008618C"/>
    <w:rsid w:val="00087FCF"/>
    <w:rsid w:val="00090C9F"/>
    <w:rsid w:val="00096D08"/>
    <w:rsid w:val="000B17FD"/>
    <w:rsid w:val="000B7832"/>
    <w:rsid w:val="000B7D33"/>
    <w:rsid w:val="000D6E49"/>
    <w:rsid w:val="000E2136"/>
    <w:rsid w:val="000E74AE"/>
    <w:rsid w:val="000F1859"/>
    <w:rsid w:val="000F2639"/>
    <w:rsid w:val="000F62C8"/>
    <w:rsid w:val="00101E3B"/>
    <w:rsid w:val="001040A2"/>
    <w:rsid w:val="00130964"/>
    <w:rsid w:val="00136223"/>
    <w:rsid w:val="00143B15"/>
    <w:rsid w:val="00150D0E"/>
    <w:rsid w:val="00156B57"/>
    <w:rsid w:val="00157CC5"/>
    <w:rsid w:val="00162CAA"/>
    <w:rsid w:val="001674A8"/>
    <w:rsid w:val="00172DC1"/>
    <w:rsid w:val="00177CF6"/>
    <w:rsid w:val="0018011F"/>
    <w:rsid w:val="00182C61"/>
    <w:rsid w:val="001858F7"/>
    <w:rsid w:val="00193F59"/>
    <w:rsid w:val="0019648A"/>
    <w:rsid w:val="001A7100"/>
    <w:rsid w:val="001B3CE8"/>
    <w:rsid w:val="001B3E49"/>
    <w:rsid w:val="001C0A23"/>
    <w:rsid w:val="001C20EB"/>
    <w:rsid w:val="001C7D69"/>
    <w:rsid w:val="001D6960"/>
    <w:rsid w:val="001F1736"/>
    <w:rsid w:val="001F5D3A"/>
    <w:rsid w:val="00210FB7"/>
    <w:rsid w:val="00217347"/>
    <w:rsid w:val="00231128"/>
    <w:rsid w:val="002652D5"/>
    <w:rsid w:val="0026753B"/>
    <w:rsid w:val="002724C3"/>
    <w:rsid w:val="002750B5"/>
    <w:rsid w:val="00276BE3"/>
    <w:rsid w:val="00277B18"/>
    <w:rsid w:val="002929F9"/>
    <w:rsid w:val="0029778E"/>
    <w:rsid w:val="002A323B"/>
    <w:rsid w:val="002C1528"/>
    <w:rsid w:val="002C1CE8"/>
    <w:rsid w:val="0030698E"/>
    <w:rsid w:val="00310DA7"/>
    <w:rsid w:val="00325F82"/>
    <w:rsid w:val="003415B1"/>
    <w:rsid w:val="00347690"/>
    <w:rsid w:val="00347F4F"/>
    <w:rsid w:val="00352561"/>
    <w:rsid w:val="003545D8"/>
    <w:rsid w:val="003630A3"/>
    <w:rsid w:val="00363751"/>
    <w:rsid w:val="003670E0"/>
    <w:rsid w:val="003678AF"/>
    <w:rsid w:val="00367D95"/>
    <w:rsid w:val="00377ABD"/>
    <w:rsid w:val="0038396F"/>
    <w:rsid w:val="0038725A"/>
    <w:rsid w:val="00391455"/>
    <w:rsid w:val="003A2F0C"/>
    <w:rsid w:val="003B0A93"/>
    <w:rsid w:val="003B6026"/>
    <w:rsid w:val="003B7975"/>
    <w:rsid w:val="003C2CF8"/>
    <w:rsid w:val="003C4EE1"/>
    <w:rsid w:val="003D0079"/>
    <w:rsid w:val="003E1211"/>
    <w:rsid w:val="003F1A78"/>
    <w:rsid w:val="00412286"/>
    <w:rsid w:val="00417DF0"/>
    <w:rsid w:val="00426007"/>
    <w:rsid w:val="004314C4"/>
    <w:rsid w:val="00433264"/>
    <w:rsid w:val="00436FFE"/>
    <w:rsid w:val="00446671"/>
    <w:rsid w:val="004510B2"/>
    <w:rsid w:val="00452E74"/>
    <w:rsid w:val="004536B9"/>
    <w:rsid w:val="00455AEE"/>
    <w:rsid w:val="00460464"/>
    <w:rsid w:val="00477520"/>
    <w:rsid w:val="00497DF7"/>
    <w:rsid w:val="004A0845"/>
    <w:rsid w:val="004A4939"/>
    <w:rsid w:val="004C27C6"/>
    <w:rsid w:val="004C3235"/>
    <w:rsid w:val="004C42A8"/>
    <w:rsid w:val="004C7B50"/>
    <w:rsid w:val="004D122B"/>
    <w:rsid w:val="004D5973"/>
    <w:rsid w:val="004D6EAC"/>
    <w:rsid w:val="004E09B8"/>
    <w:rsid w:val="004E3275"/>
    <w:rsid w:val="00500594"/>
    <w:rsid w:val="00501D2E"/>
    <w:rsid w:val="00513A1F"/>
    <w:rsid w:val="00514C0E"/>
    <w:rsid w:val="00522782"/>
    <w:rsid w:val="00527877"/>
    <w:rsid w:val="00531BA5"/>
    <w:rsid w:val="00555720"/>
    <w:rsid w:val="00566CC4"/>
    <w:rsid w:val="00577885"/>
    <w:rsid w:val="00587B87"/>
    <w:rsid w:val="005B5F5B"/>
    <w:rsid w:val="005D63DC"/>
    <w:rsid w:val="005D6AB8"/>
    <w:rsid w:val="005D759B"/>
    <w:rsid w:val="005F12E0"/>
    <w:rsid w:val="005F72EE"/>
    <w:rsid w:val="00601629"/>
    <w:rsid w:val="00602410"/>
    <w:rsid w:val="00617B50"/>
    <w:rsid w:val="00634144"/>
    <w:rsid w:val="00637565"/>
    <w:rsid w:val="00650795"/>
    <w:rsid w:val="00662866"/>
    <w:rsid w:val="00667E44"/>
    <w:rsid w:val="006807B7"/>
    <w:rsid w:val="00682935"/>
    <w:rsid w:val="00690FD5"/>
    <w:rsid w:val="006926D4"/>
    <w:rsid w:val="00696B05"/>
    <w:rsid w:val="006A3516"/>
    <w:rsid w:val="006A3FAD"/>
    <w:rsid w:val="006A70B6"/>
    <w:rsid w:val="006B1366"/>
    <w:rsid w:val="006C09E3"/>
    <w:rsid w:val="006D4699"/>
    <w:rsid w:val="006D5973"/>
    <w:rsid w:val="006E5737"/>
    <w:rsid w:val="00710EC9"/>
    <w:rsid w:val="00721C3E"/>
    <w:rsid w:val="007232BA"/>
    <w:rsid w:val="00723A4A"/>
    <w:rsid w:val="007306B4"/>
    <w:rsid w:val="00730A33"/>
    <w:rsid w:val="00731C8C"/>
    <w:rsid w:val="00737244"/>
    <w:rsid w:val="00753C58"/>
    <w:rsid w:val="00760A90"/>
    <w:rsid w:val="007736B7"/>
    <w:rsid w:val="007766A4"/>
    <w:rsid w:val="00784D1B"/>
    <w:rsid w:val="00793958"/>
    <w:rsid w:val="007949FF"/>
    <w:rsid w:val="007A2C82"/>
    <w:rsid w:val="007A2DEA"/>
    <w:rsid w:val="007A4DCC"/>
    <w:rsid w:val="007A6882"/>
    <w:rsid w:val="007A6A12"/>
    <w:rsid w:val="007B143E"/>
    <w:rsid w:val="007B2994"/>
    <w:rsid w:val="007B2AA1"/>
    <w:rsid w:val="007C081D"/>
    <w:rsid w:val="007C2526"/>
    <w:rsid w:val="007C7120"/>
    <w:rsid w:val="007D79F8"/>
    <w:rsid w:val="007E3EAE"/>
    <w:rsid w:val="007E71CF"/>
    <w:rsid w:val="007F3498"/>
    <w:rsid w:val="007F6B91"/>
    <w:rsid w:val="00801F13"/>
    <w:rsid w:val="00814264"/>
    <w:rsid w:val="00820470"/>
    <w:rsid w:val="00825B8D"/>
    <w:rsid w:val="00832082"/>
    <w:rsid w:val="00833F11"/>
    <w:rsid w:val="00834ED4"/>
    <w:rsid w:val="0084418C"/>
    <w:rsid w:val="00844C28"/>
    <w:rsid w:val="008528C9"/>
    <w:rsid w:val="00852C3C"/>
    <w:rsid w:val="00862F75"/>
    <w:rsid w:val="00876919"/>
    <w:rsid w:val="00884EA8"/>
    <w:rsid w:val="008A1F04"/>
    <w:rsid w:val="008A621B"/>
    <w:rsid w:val="008B06BC"/>
    <w:rsid w:val="008B19B8"/>
    <w:rsid w:val="008C7CEA"/>
    <w:rsid w:val="008D00C5"/>
    <w:rsid w:val="008D0D8E"/>
    <w:rsid w:val="008D56AA"/>
    <w:rsid w:val="008E09BA"/>
    <w:rsid w:val="008E1C5D"/>
    <w:rsid w:val="008E4506"/>
    <w:rsid w:val="008F7FEB"/>
    <w:rsid w:val="00901DA2"/>
    <w:rsid w:val="00916464"/>
    <w:rsid w:val="00916787"/>
    <w:rsid w:val="00936092"/>
    <w:rsid w:val="00942106"/>
    <w:rsid w:val="00951FFD"/>
    <w:rsid w:val="0095743D"/>
    <w:rsid w:val="0096476D"/>
    <w:rsid w:val="00970104"/>
    <w:rsid w:val="009737E2"/>
    <w:rsid w:val="009739F0"/>
    <w:rsid w:val="00973CE1"/>
    <w:rsid w:val="009B6D37"/>
    <w:rsid w:val="009C0F7E"/>
    <w:rsid w:val="009D1C04"/>
    <w:rsid w:val="009D7B6A"/>
    <w:rsid w:val="009E1228"/>
    <w:rsid w:val="00A0411F"/>
    <w:rsid w:val="00A0636C"/>
    <w:rsid w:val="00A10AF9"/>
    <w:rsid w:val="00A25EC9"/>
    <w:rsid w:val="00A31AD9"/>
    <w:rsid w:val="00A474EF"/>
    <w:rsid w:val="00A55BF6"/>
    <w:rsid w:val="00A713F6"/>
    <w:rsid w:val="00A729EB"/>
    <w:rsid w:val="00A83541"/>
    <w:rsid w:val="00A84BDC"/>
    <w:rsid w:val="00A85AE5"/>
    <w:rsid w:val="00A928C8"/>
    <w:rsid w:val="00A928FF"/>
    <w:rsid w:val="00A96C48"/>
    <w:rsid w:val="00AA7435"/>
    <w:rsid w:val="00AB430D"/>
    <w:rsid w:val="00AB6A0B"/>
    <w:rsid w:val="00AB70C0"/>
    <w:rsid w:val="00AD62D6"/>
    <w:rsid w:val="00AF1E89"/>
    <w:rsid w:val="00B0320A"/>
    <w:rsid w:val="00B16E4D"/>
    <w:rsid w:val="00B20C0D"/>
    <w:rsid w:val="00B33E64"/>
    <w:rsid w:val="00B40BC2"/>
    <w:rsid w:val="00B43B8B"/>
    <w:rsid w:val="00B47ED2"/>
    <w:rsid w:val="00B52BA6"/>
    <w:rsid w:val="00B540AC"/>
    <w:rsid w:val="00B5574D"/>
    <w:rsid w:val="00B64335"/>
    <w:rsid w:val="00B67F30"/>
    <w:rsid w:val="00B7024F"/>
    <w:rsid w:val="00B81C3A"/>
    <w:rsid w:val="00B85DF1"/>
    <w:rsid w:val="00B91BB1"/>
    <w:rsid w:val="00B94991"/>
    <w:rsid w:val="00BA4BCC"/>
    <w:rsid w:val="00BB429E"/>
    <w:rsid w:val="00BC29B4"/>
    <w:rsid w:val="00BC301B"/>
    <w:rsid w:val="00BC73F8"/>
    <w:rsid w:val="00BD341A"/>
    <w:rsid w:val="00BD3C32"/>
    <w:rsid w:val="00BD6AB5"/>
    <w:rsid w:val="00BE022C"/>
    <w:rsid w:val="00BE4E72"/>
    <w:rsid w:val="00BF3F20"/>
    <w:rsid w:val="00C06A59"/>
    <w:rsid w:val="00C07630"/>
    <w:rsid w:val="00C10944"/>
    <w:rsid w:val="00C146EE"/>
    <w:rsid w:val="00C179B0"/>
    <w:rsid w:val="00C203F4"/>
    <w:rsid w:val="00C2221E"/>
    <w:rsid w:val="00C31270"/>
    <w:rsid w:val="00C320EE"/>
    <w:rsid w:val="00C329C0"/>
    <w:rsid w:val="00C32CF1"/>
    <w:rsid w:val="00C35262"/>
    <w:rsid w:val="00C426F8"/>
    <w:rsid w:val="00C43AC4"/>
    <w:rsid w:val="00C4402B"/>
    <w:rsid w:val="00C5268F"/>
    <w:rsid w:val="00C55206"/>
    <w:rsid w:val="00C563F3"/>
    <w:rsid w:val="00C75978"/>
    <w:rsid w:val="00C82B26"/>
    <w:rsid w:val="00C90BD9"/>
    <w:rsid w:val="00C91FA7"/>
    <w:rsid w:val="00C924B8"/>
    <w:rsid w:val="00CA4A4D"/>
    <w:rsid w:val="00CA518D"/>
    <w:rsid w:val="00CB3844"/>
    <w:rsid w:val="00CB5FD8"/>
    <w:rsid w:val="00CC0B3A"/>
    <w:rsid w:val="00CC10C1"/>
    <w:rsid w:val="00CC1B56"/>
    <w:rsid w:val="00CC5F14"/>
    <w:rsid w:val="00CE123C"/>
    <w:rsid w:val="00CE320D"/>
    <w:rsid w:val="00CE42AF"/>
    <w:rsid w:val="00CE74BF"/>
    <w:rsid w:val="00CF0EB5"/>
    <w:rsid w:val="00D0103A"/>
    <w:rsid w:val="00D01AF3"/>
    <w:rsid w:val="00D06B4B"/>
    <w:rsid w:val="00D101F6"/>
    <w:rsid w:val="00D2158B"/>
    <w:rsid w:val="00D23984"/>
    <w:rsid w:val="00D3114C"/>
    <w:rsid w:val="00D35AE4"/>
    <w:rsid w:val="00D40FCE"/>
    <w:rsid w:val="00D505FF"/>
    <w:rsid w:val="00D54850"/>
    <w:rsid w:val="00D643B1"/>
    <w:rsid w:val="00D64E9B"/>
    <w:rsid w:val="00D7186C"/>
    <w:rsid w:val="00D75887"/>
    <w:rsid w:val="00D86734"/>
    <w:rsid w:val="00D9578B"/>
    <w:rsid w:val="00D96BA8"/>
    <w:rsid w:val="00D96DA9"/>
    <w:rsid w:val="00D9736B"/>
    <w:rsid w:val="00DA099A"/>
    <w:rsid w:val="00DA5FCF"/>
    <w:rsid w:val="00DB1E84"/>
    <w:rsid w:val="00DB229B"/>
    <w:rsid w:val="00DB4710"/>
    <w:rsid w:val="00DB58F4"/>
    <w:rsid w:val="00DC27E3"/>
    <w:rsid w:val="00DC38E2"/>
    <w:rsid w:val="00DC735E"/>
    <w:rsid w:val="00DC7864"/>
    <w:rsid w:val="00DD509F"/>
    <w:rsid w:val="00DD5B34"/>
    <w:rsid w:val="00DE3103"/>
    <w:rsid w:val="00DF0A12"/>
    <w:rsid w:val="00DF1A33"/>
    <w:rsid w:val="00E23381"/>
    <w:rsid w:val="00E23C9E"/>
    <w:rsid w:val="00E26D86"/>
    <w:rsid w:val="00E3129A"/>
    <w:rsid w:val="00E315CF"/>
    <w:rsid w:val="00E3242E"/>
    <w:rsid w:val="00E55DAE"/>
    <w:rsid w:val="00E612F8"/>
    <w:rsid w:val="00E724D3"/>
    <w:rsid w:val="00E72FA4"/>
    <w:rsid w:val="00E86B76"/>
    <w:rsid w:val="00EA3DCA"/>
    <w:rsid w:val="00EA62DA"/>
    <w:rsid w:val="00EB3113"/>
    <w:rsid w:val="00EC0B29"/>
    <w:rsid w:val="00EC26D0"/>
    <w:rsid w:val="00EC5929"/>
    <w:rsid w:val="00ED0A6A"/>
    <w:rsid w:val="00EE0B82"/>
    <w:rsid w:val="00EE1090"/>
    <w:rsid w:val="00EE684E"/>
    <w:rsid w:val="00EF04F7"/>
    <w:rsid w:val="00EF0EBC"/>
    <w:rsid w:val="00EF393D"/>
    <w:rsid w:val="00EF3D50"/>
    <w:rsid w:val="00F02ACA"/>
    <w:rsid w:val="00F116BE"/>
    <w:rsid w:val="00F357B4"/>
    <w:rsid w:val="00F44FF0"/>
    <w:rsid w:val="00F4758F"/>
    <w:rsid w:val="00F52B9B"/>
    <w:rsid w:val="00F65170"/>
    <w:rsid w:val="00F72E1E"/>
    <w:rsid w:val="00F7527E"/>
    <w:rsid w:val="00F8562A"/>
    <w:rsid w:val="00F97524"/>
    <w:rsid w:val="00FB0918"/>
    <w:rsid w:val="00FC1307"/>
    <w:rsid w:val="00FC1C0A"/>
    <w:rsid w:val="00FC4F1C"/>
    <w:rsid w:val="00FE2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1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545D8"/>
    <w:rPr>
      <w:rFonts w:ascii="Tahoma" w:hAnsi="Tahoma" w:cs="Tahoma"/>
      <w:sz w:val="16"/>
      <w:szCs w:val="16"/>
    </w:rPr>
  </w:style>
  <w:style w:type="character" w:customStyle="1" w:styleId="a4">
    <w:name w:val="Текст выноски Знак"/>
    <w:basedOn w:val="a0"/>
    <w:link w:val="a3"/>
    <w:uiPriority w:val="99"/>
    <w:semiHidden/>
    <w:locked/>
    <w:rsid w:val="003545D8"/>
    <w:rPr>
      <w:rFonts w:ascii="Tahoma" w:hAnsi="Tahoma" w:cs="Tahoma"/>
      <w:sz w:val="16"/>
      <w:szCs w:val="16"/>
    </w:rPr>
  </w:style>
  <w:style w:type="character" w:styleId="a5">
    <w:name w:val="annotation reference"/>
    <w:basedOn w:val="a0"/>
    <w:uiPriority w:val="99"/>
    <w:semiHidden/>
    <w:rsid w:val="003545D8"/>
    <w:rPr>
      <w:rFonts w:cs="Times New Roman"/>
      <w:sz w:val="16"/>
      <w:szCs w:val="16"/>
    </w:rPr>
  </w:style>
  <w:style w:type="paragraph" w:styleId="a6">
    <w:name w:val="annotation text"/>
    <w:basedOn w:val="a"/>
    <w:link w:val="a7"/>
    <w:uiPriority w:val="99"/>
    <w:semiHidden/>
    <w:rsid w:val="003545D8"/>
    <w:rPr>
      <w:sz w:val="20"/>
      <w:szCs w:val="20"/>
    </w:rPr>
  </w:style>
  <w:style w:type="character" w:customStyle="1" w:styleId="a7">
    <w:name w:val="Текст примечания Знак"/>
    <w:basedOn w:val="a0"/>
    <w:link w:val="a6"/>
    <w:uiPriority w:val="99"/>
    <w:semiHidden/>
    <w:locked/>
    <w:rsid w:val="003545D8"/>
    <w:rPr>
      <w:rFonts w:cs="Times New Roman"/>
      <w:sz w:val="20"/>
      <w:szCs w:val="20"/>
    </w:rPr>
  </w:style>
  <w:style w:type="paragraph" w:styleId="a8">
    <w:name w:val="annotation subject"/>
    <w:basedOn w:val="a6"/>
    <w:next w:val="a6"/>
    <w:link w:val="a9"/>
    <w:uiPriority w:val="99"/>
    <w:semiHidden/>
    <w:rsid w:val="003545D8"/>
    <w:rPr>
      <w:b/>
      <w:bCs/>
    </w:rPr>
  </w:style>
  <w:style w:type="character" w:customStyle="1" w:styleId="a9">
    <w:name w:val="Тема примечания Знак"/>
    <w:basedOn w:val="a7"/>
    <w:link w:val="a8"/>
    <w:uiPriority w:val="99"/>
    <w:semiHidden/>
    <w:locked/>
    <w:rsid w:val="003545D8"/>
    <w:rPr>
      <w:b/>
      <w:bCs/>
    </w:rPr>
  </w:style>
  <w:style w:type="character" w:customStyle="1" w:styleId="EmailStyle22">
    <w:name w:val="EmailStyle221"/>
    <w:aliases w:val="EmailStyle221"/>
    <w:basedOn w:val="a0"/>
    <w:uiPriority w:val="99"/>
    <w:semiHidden/>
    <w:personal/>
    <w:rsid w:val="001A7100"/>
    <w:rPr>
      <w:rFonts w:ascii="Times New Roman" w:hAnsi="Times New Roman" w:cs="Arial"/>
      <w:color w:val="auto"/>
      <w:sz w:val="20"/>
      <w:szCs w:val="20"/>
    </w:rPr>
  </w:style>
  <w:style w:type="paragraph" w:styleId="aa">
    <w:name w:val="footnote text"/>
    <w:basedOn w:val="a"/>
    <w:link w:val="ab"/>
    <w:uiPriority w:val="99"/>
    <w:semiHidden/>
    <w:unhideWhenUsed/>
    <w:rsid w:val="00D3114C"/>
    <w:rPr>
      <w:sz w:val="20"/>
      <w:szCs w:val="20"/>
    </w:rPr>
  </w:style>
  <w:style w:type="character" w:customStyle="1" w:styleId="ab">
    <w:name w:val="Текст сноски Знак"/>
    <w:basedOn w:val="a0"/>
    <w:link w:val="aa"/>
    <w:uiPriority w:val="99"/>
    <w:semiHidden/>
    <w:rsid w:val="00D3114C"/>
    <w:rPr>
      <w:sz w:val="20"/>
      <w:szCs w:val="20"/>
    </w:rPr>
  </w:style>
  <w:style w:type="character" w:styleId="ac">
    <w:name w:val="footnote reference"/>
    <w:basedOn w:val="a0"/>
    <w:uiPriority w:val="99"/>
    <w:semiHidden/>
    <w:unhideWhenUsed/>
    <w:rsid w:val="00D3114C"/>
    <w:rPr>
      <w:vertAlign w:val="superscript"/>
    </w:rPr>
  </w:style>
  <w:style w:type="paragraph" w:styleId="ad">
    <w:name w:val="endnote text"/>
    <w:basedOn w:val="a"/>
    <w:link w:val="ae"/>
    <w:uiPriority w:val="99"/>
    <w:semiHidden/>
    <w:unhideWhenUsed/>
    <w:rsid w:val="0095743D"/>
    <w:rPr>
      <w:sz w:val="20"/>
      <w:szCs w:val="20"/>
    </w:rPr>
  </w:style>
  <w:style w:type="character" w:customStyle="1" w:styleId="ae">
    <w:name w:val="Текст концевой сноски Знак"/>
    <w:basedOn w:val="a0"/>
    <w:link w:val="ad"/>
    <w:uiPriority w:val="99"/>
    <w:semiHidden/>
    <w:rsid w:val="0095743D"/>
  </w:style>
  <w:style w:type="character" w:styleId="af">
    <w:name w:val="endnote reference"/>
    <w:basedOn w:val="a0"/>
    <w:uiPriority w:val="99"/>
    <w:semiHidden/>
    <w:unhideWhenUsed/>
    <w:rsid w:val="0095743D"/>
    <w:rPr>
      <w:vertAlign w:val="superscript"/>
    </w:rPr>
  </w:style>
</w:styles>
</file>

<file path=word/webSettings.xml><?xml version="1.0" encoding="utf-8"?>
<w:webSettings xmlns:r="http://schemas.openxmlformats.org/officeDocument/2006/relationships" xmlns:w="http://schemas.openxmlformats.org/wordprocessingml/2006/main">
  <w:divs>
    <w:div w:id="362022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4DB29873CB3D34F904AD658EE79375F" ma:contentTypeVersion="27" ma:contentTypeDescription="Создание документа." ma:contentTypeScope="" ma:versionID="be3aec5dbb49cc4116d5ad6dd01fb802">
  <xsd:schema xmlns:xsd="http://www.w3.org/2001/XMLSchema" xmlns:xs="http://www.w3.org/2001/XMLSchema" xmlns:p="http://schemas.microsoft.com/office/2006/metadata/properties" xmlns:ns2="b60ba9ec-6afa-41d0-aa22-c3d3efe3edff" targetNamespace="http://schemas.microsoft.com/office/2006/metadata/properties" ma:root="true" ma:fieldsID="1cab351b6145f6ff6714e0135e63cd28" ns2:_="">
    <xsd:import namespace="b60ba9ec-6afa-41d0-aa22-c3d3efe3edff"/>
    <xsd:element name="properties">
      <xsd:complexType>
        <xsd:sequence>
          <xsd:element name="documentManagement">
            <xsd:complexType>
              <xsd:all>
                <xsd:element ref="ns2:_x0422__x0438__x043f__x0020__x043f__x043e__x043b__x044c__x0437__x043e__x0432__x0430__x0442__x0435__x043b__x044f_" minOccurs="0"/>
                <xsd:element ref="ns2:_x041f__x0440__x043e__x0434__x0443__x043a__x0442_" minOccurs="0"/>
                <xsd:element ref="ns2:_x041a__x0430__x0442__x0435__x0433__x043e__x0440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ba9ec-6afa-41d0-aa22-c3d3efe3edff" elementFormDefault="qualified">
    <xsd:import namespace="http://schemas.microsoft.com/office/2006/documentManagement/types"/>
    <xsd:import namespace="http://schemas.microsoft.com/office/infopath/2007/PartnerControls"/>
    <xsd:element name="_x0422__x0438__x043f__x0020__x043f__x043e__x043b__x044c__x0437__x043e__x0432__x0430__x0442__x0435__x043b__x044f_" ma:index="2" nillable="true" ma:displayName="Рабочий портфель" ma:internalName="_x0422__x0438__x043f__x0020__x043f__x043e__x043b__x044c__x0437__x043e__x0432__x0430__x0442__x0435__x043b__x044f_">
      <xsd:complexType>
        <xsd:complexContent>
          <xsd:extension base="dms:MultiChoice">
            <xsd:sequence>
              <xsd:element name="Value" maxOccurs="unbounded" minOccurs="0" nillable="true">
                <xsd:simpleType>
                  <xsd:restriction base="dms:Choice">
                    <xsd:enumeration value="Менеджер-консультант"/>
                    <xsd:enumeration value="Операционист"/>
                    <xsd:enumeration value="Сотрудник отдела ипотечного кредитования"/>
                    <xsd:enumeration value="Сотрудник отдела продаж розничных продуктов"/>
                    <xsd:enumeration value="Сотрудник Информационного центра"/>
                    <xsd:enumeration value="Сотрудник Малого бизнеса"/>
                    <xsd:enumeration value="Сотрудник Отдела мониторинга розничного портфеля"/>
                    <xsd:enumeration value="Стандарты обслуживания"/>
                  </xsd:restriction>
                </xsd:simpleType>
              </xsd:element>
            </xsd:sequence>
          </xsd:extension>
        </xsd:complexContent>
      </xsd:complexType>
    </xsd:element>
    <xsd:element name="_x041f__x0440__x043e__x0434__x0443__x043a__x0442_" ma:index="3" nillable="true" ma:displayName="Продукт" ma:format="Dropdown" ma:internalName="_x041f__x0440__x043e__x0434__x0443__x043a__x0442_">
      <xsd:simpleType>
        <xsd:restriction base="dms:Choice">
          <xsd:enumeration value="Автокредиты"/>
          <xsd:enumeration value="Акции"/>
          <xsd:enumeration value="Виртуальная карта"/>
          <xsd:enumeration value="Дебетовые карты"/>
          <xsd:enumeration value="Дистанционные услуги"/>
          <xsd:enumeration value="Зарплатные проекты"/>
          <xsd:enumeration value="Инвестиционные услуги"/>
          <xsd:enumeration value="Ипотека"/>
          <xsd:enumeration value="Кредитные карты"/>
          <xsd:enumeration value="Критерии оценки клиента"/>
          <xsd:enumeration value="Малый бизнес: кредиты и РКО"/>
          <xsd:enumeration value="Нецелевой потребительский кредит"/>
          <xsd:enumeration value="Общие документы"/>
          <xsd:enumeration value="Памятки"/>
          <xsd:enumeration value="Краткие памятки и инструкции по операциям"/>
          <xsd:enumeration value="Перекредитование"/>
          <xsd:enumeration value="Платежи и переводы"/>
          <xsd:enumeration value="Подарочная карта"/>
          <xsd:enumeration value="ПТС"/>
          <xsd:enumeration value="Работа в системе Клиент Банк"/>
          <xsd:enumeration value="Реструктуризация"/>
          <xsd:enumeration value="РКО физических лиц"/>
          <xsd:enumeration value="РКО физических/юридических лиц"/>
          <xsd:enumeration value="РКО юридических лиц"/>
          <xsd:enumeration value="Сейфовые ячейки"/>
          <xsd:enumeration value="Система мотивации"/>
          <xsd:enumeration value="Специальный банковский счет"/>
          <xsd:enumeration value="Срочные вклады"/>
          <xsd:enumeration value="Целевой потребительский кредит"/>
          <xsd:enumeration value="Эквайринг"/>
          <xsd:enumeration value="Экспресс-кредит &quot;Формула скорости&quot;"/>
          <xsd:enumeration value="Топливная карта"/>
          <xsd:enumeration value="Студенческая карта"/>
          <xsd:enumeration value="Архивные кредитные карты"/>
          <xsd:enumeration value="Коробочное страхование"/>
          <xsd:enumeration value="VIP"/>
          <xsd:enumeration value="Акции"/>
          <xsd:enumeration value="Порядок обслуживания клиентов"/>
          <xsd:enumeration value="Оформление офисов"/>
          <xsd:enumeration value="Полиграфия для офисов"/>
          <xsd:enumeration value="Порядок оценки качества обслуживания"/>
          <xsd:enumeration value="Результаты исследования Тайный покупатель"/>
        </xsd:restriction>
      </xsd:simpleType>
    </xsd:element>
    <xsd:element name="_x041a__x0430__x0442__x0435__x0433__x043e__x0440__x0438__x044f_" ma:index="4" nillable="true" ma:displayName="Категория" ma:format="Dropdown" ma:internalName="_x041a__x0430__x0442__x0435__x0433__x043e__x0440__x0438__x044f_">
      <xsd:simpleType>
        <xsd:restriction base="dms:Choice">
          <xsd:enumeration value="Pay Pass"/>
          <xsd:enumeration value="POS_Без переплаты"/>
          <xsd:enumeration value="POS_Классический"/>
          <xsd:enumeration value="POS_С льготным периодом"/>
          <xsd:enumeration value="SMS-Банк-Инфо"/>
          <xsd:enumeration value="Автоплатеж"/>
          <xsd:enumeration value="Агентский договор"/>
          <xsd:enumeration value="Аккредитация партнеров"/>
          <xsd:enumeration value="Акции"/>
          <xsd:enumeration value="Альтернатива.RU"/>
          <xsd:enumeration value="Архив"/>
          <xsd:enumeration value="Валютные переводы без открытия счета"/>
          <xsd:enumeration value="Валютные переводы со счета"/>
          <xsd:enumeration value="Вклад &quot;Инвестиционный&quot;"/>
          <xsd:enumeration value="Вклад &quot;Снежный процент&quot;"/>
          <xsd:enumeration value="Выдача ПТС"/>
          <xsd:enumeration value="Документы для Клиента"/>
          <xsd:enumeration value="Жилье на вторичном рынке СТАНДАРТ.RU"/>
          <xsd:enumeration value="Жилье на вторичном рынке.RU"/>
          <xsd:enumeration value="Загородный дом"/>
          <xsd:enumeration value="Интернет-банкинг"/>
          <xsd:enumeration value="Калькуляторы"/>
          <xsd:enumeration value="Кампания. Cтавка ниже - цели ближе"/>
          <xsd:enumeration value="Квартира в новостройке"/>
          <xsd:enumeration value="Квартира в новостройке. Единая ставка"/>
          <xsd:enumeration value="Квартира на вторичном рынке"/>
          <xsd:enumeration value="Коммерческая ипотека"/>
          <xsd:enumeration value="Кредитные продукты и тарифы"/>
          <xsd:enumeration value="Мобильный Банкинг"/>
          <xsd:enumeration value="Мониторинг портфеля"/>
          <xsd:enumeration value="На любые цели"/>
          <xsd:enumeration value="Новостройка.RU"/>
          <xsd:enumeration value="Нормативные документы"/>
          <xsd:enumeration value="Общие документы"/>
          <xsd:enumeration value="Памятки"/>
          <xsd:enumeration value="Паспорта"/>
          <xsd:enumeration value="Переводы Western Union"/>
          <xsd:enumeration value="Переводы в рублях без открытия счета"/>
          <xsd:enumeration value="Переводы в рублях со счетов"/>
          <xsd:enumeration value="Переводы Золотая корона"/>
          <xsd:enumeration value="ПИФ"/>
          <xsd:enumeration value="Покупка портфелей сторонних банков"/>
          <xsd:enumeration value="Полезная информация"/>
          <xsd:enumeration value="Порядки работы в CRM"/>
          <xsd:enumeration value="Порядки работы в EGAR"/>
          <xsd:enumeration value="Порядки работы в ИС"/>
          <xsd:enumeration value="Порядок принятия решений"/>
          <xsd:enumeration value="Презентационный материал"/>
          <xsd:enumeration value="Приказы"/>
          <xsd:enumeration value="Процедура кредитования МБ"/>
          <xsd:enumeration value="Расторжение договоров МБ"/>
          <xsd:enumeration value="Резервирование МБ"/>
          <xsd:enumeration value="Реструктуризация кредитных карт"/>
          <xsd:enumeration value="Реструктуризация потребительских кредитов"/>
          <xsd:enumeration value="Рефинансирование"/>
          <xsd:enumeration value="Сегментация клиентов МБ"/>
          <xsd:enumeration value="Сезонные вклады"/>
          <xsd:enumeration value="Секьюретизация"/>
          <xsd:enumeration value="Способы оплаты"/>
          <xsd:enumeration value="Стандарты продаж"/>
          <xsd:enumeration value="Страхование"/>
          <xsd:enumeration value="Тарифы"/>
          <xsd:enumeration value="Технологии"/>
          <xsd:enumeration value="Типовые формы документации"/>
          <xsd:enumeration value="Условия"/>
          <xsd:enumeration value="Формы кредитной документации"/>
          <xsd:enumeration value="Страхование жизни от НС"/>
          <xsd:enumeration value="Конструктор"/>
          <xsd:enumeration value="Документация по продукту &quot;В Ритме бизнеса&quot;"/>
          <xsd:enumeration value="Легче не бывает"/>
          <xsd:enumeration value="Стабилизационный кредит"/>
          <xsd:enumeration value="МККР"/>
          <xsd:enumeration value="Массовый выпуск"/>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0"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f__x0440__x043e__x0434__x0443__x043a__x0442_ xmlns="b60ba9ec-6afa-41d0-aa22-c3d3efe3edff">Ипотека</_x041f__x0440__x043e__x0434__x0443__x043a__x0442_>
    <_x0422__x0438__x043f__x0020__x043f__x043e__x043b__x044c__x0437__x043e__x0432__x0430__x0442__x0435__x043b__x044f_ xmlns="b60ba9ec-6afa-41d0-aa22-c3d3efe3edff">
      <Value>Менеджер-консультант</Value>
      <Value>Сотрудник отдела ипотечного кредитования</Value>
      <Value>Сотрудник отдела продаж розничных продуктов</Value>
      <Value>Сотрудник Информационного центра</Value>
      <Value>Сотрудник Отдела мониторинга розничного портфеля</Value>
    </_x0422__x0438__x043f__x0020__x043f__x043e__x043b__x044c__x0437__x043e__x0432__x0430__x0442__x0435__x043b__x044f_>
    <_x041a__x0430__x0442__x0435__x0433__x043e__x0440__x0438__x044f_ xmlns="b60ba9ec-6afa-41d0-aa22-c3d3efe3edff">Рефинансирование</_x041a__x0430__x0442__x0435__x0433__x043e__x0440__x0438__x044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7A52-F582-4B41-8F97-60CB921DB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ba9ec-6afa-41d0-aa22-c3d3efe3e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17BD4-E1C5-4176-9C24-DF6F48C36301}">
  <ds:schemaRefs>
    <ds:schemaRef ds:uri="http://schemas.microsoft.com/sharepoint/v3/contenttype/forms"/>
  </ds:schemaRefs>
</ds:datastoreItem>
</file>

<file path=customXml/itemProps3.xml><?xml version="1.0" encoding="utf-8"?>
<ds:datastoreItem xmlns:ds="http://schemas.openxmlformats.org/officeDocument/2006/customXml" ds:itemID="{B888E073-6BA1-45F6-8E97-8C902DC2C232}">
  <ds:schemaRefs>
    <ds:schemaRef ds:uri="http://schemas.microsoft.com/office/2006/metadata/properties"/>
    <ds:schemaRef ds:uri="http://schemas.microsoft.com/office/infopath/2007/PartnerControls"/>
    <ds:schemaRef ds:uri="b60ba9ec-6afa-41d0-aa22-c3d3efe3edff"/>
  </ds:schemaRefs>
</ds:datastoreItem>
</file>

<file path=customXml/itemProps4.xml><?xml version="1.0" encoding="utf-8"?>
<ds:datastoreItem xmlns:ds="http://schemas.openxmlformats.org/officeDocument/2006/customXml" ds:itemID="{20E54CFD-0709-451D-A0EE-A57F6AD1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Рефинансирование_Тарифы</vt:lpstr>
    </vt:vector>
  </TitlesOfParts>
  <Company>MBRD</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Рефинансирование_Тарифы</dc:title>
  <dc:subject/>
  <dc:creator>Шестакова Ирина Викторовна</dc:creator>
  <cp:keywords/>
  <dc:description/>
  <cp:lastModifiedBy>AZarafutdinova</cp:lastModifiedBy>
  <cp:revision>1</cp:revision>
  <cp:lastPrinted>2010-11-30T12:37:00Z</cp:lastPrinted>
  <dcterms:created xsi:type="dcterms:W3CDTF">2014-05-19T12:45:00Z</dcterms:created>
  <dcterms:modified xsi:type="dcterms:W3CDTF">2014-05-19T12:45:00Z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0x01010044DB29873CB3D34F904AD658EE79375F</vt:lpwstr>
  </property>
</Properties>
</file>