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2045"/>
        <w:gridCol w:w="2046"/>
        <w:gridCol w:w="2038"/>
        <w:gridCol w:w="7"/>
        <w:gridCol w:w="2046"/>
        <w:gridCol w:w="2046"/>
      </w:tblGrid>
      <w:tr w:rsidR="00DB229B" w:rsidRPr="001A7100" w:rsidTr="00B43B8B">
        <w:tc>
          <w:tcPr>
            <w:tcW w:w="15808" w:type="dxa"/>
            <w:gridSpan w:val="8"/>
          </w:tcPr>
          <w:p w:rsidR="00DB229B" w:rsidRPr="001A7100" w:rsidRDefault="007A27A2" w:rsidP="0026753B">
            <w:pPr>
              <w:rPr>
                <w:b/>
              </w:rPr>
            </w:pPr>
            <w:r>
              <w:rPr>
                <w:b/>
                <w:bCs/>
                <w:sz w:val="22"/>
                <w:szCs w:val="22"/>
              </w:rPr>
              <w:t>6.1.</w:t>
            </w:r>
            <w:r w:rsidR="00DB229B" w:rsidRPr="001A7100">
              <w:rPr>
                <w:b/>
                <w:bCs/>
                <w:sz w:val="22"/>
                <w:szCs w:val="22"/>
              </w:rPr>
              <w:t xml:space="preserve"> Программа «</w:t>
            </w:r>
            <w:r w:rsidR="004C1024">
              <w:rPr>
                <w:b/>
                <w:bCs/>
                <w:sz w:val="22"/>
                <w:szCs w:val="22"/>
              </w:rPr>
              <w:t>Квартира на вторичном рынке</w:t>
            </w:r>
            <w:r w:rsidR="00DB229B" w:rsidRPr="001A7100">
              <w:rPr>
                <w:b/>
                <w:bCs/>
                <w:sz w:val="22"/>
                <w:szCs w:val="22"/>
              </w:rPr>
              <w:t xml:space="preserve">». </w:t>
            </w:r>
            <w:r w:rsidR="00DB229B" w:rsidRPr="001A7100">
              <w:rPr>
                <w:b/>
                <w:sz w:val="22"/>
                <w:szCs w:val="22"/>
              </w:rPr>
              <w:t>Ипотечный кредит на приобретение жилья на вторичном рынке под залог приобретаемой недвижимости.</w:t>
            </w:r>
          </w:p>
        </w:tc>
      </w:tr>
      <w:tr w:rsidR="000F0309" w:rsidRPr="001A7100" w:rsidTr="000F0309">
        <w:trPr>
          <w:trHeight w:val="611"/>
        </w:trPr>
        <w:tc>
          <w:tcPr>
            <w:tcW w:w="15808" w:type="dxa"/>
            <w:gridSpan w:val="8"/>
            <w:vAlign w:val="center"/>
          </w:tcPr>
          <w:p w:rsidR="000F0309" w:rsidRPr="000F0309" w:rsidRDefault="000F0309" w:rsidP="000F0309">
            <w:pPr>
              <w:ind w:left="42"/>
              <w:rPr>
                <w:sz w:val="22"/>
                <w:szCs w:val="22"/>
              </w:rPr>
            </w:pPr>
            <w:r>
              <w:rPr>
                <w:sz w:val="22"/>
                <w:szCs w:val="22"/>
              </w:rPr>
              <w:t>1. Условия кредитования и погашения задолженности</w:t>
            </w:r>
          </w:p>
        </w:tc>
      </w:tr>
      <w:tr w:rsidR="00DB229B" w:rsidRPr="001A7100" w:rsidTr="00E205AE">
        <w:tc>
          <w:tcPr>
            <w:tcW w:w="720" w:type="dxa"/>
            <w:vAlign w:val="center"/>
          </w:tcPr>
          <w:p w:rsidR="007F2447" w:rsidRDefault="00E205AE">
            <w:r>
              <w:rPr>
                <w:sz w:val="22"/>
                <w:szCs w:val="22"/>
              </w:rPr>
              <w:t>1.1</w:t>
            </w:r>
          </w:p>
        </w:tc>
        <w:tc>
          <w:tcPr>
            <w:tcW w:w="4860" w:type="dxa"/>
            <w:vAlign w:val="center"/>
          </w:tcPr>
          <w:p w:rsidR="007F2447" w:rsidRDefault="00DB229B">
            <w:r w:rsidRPr="001A7100">
              <w:rPr>
                <w:sz w:val="22"/>
                <w:szCs w:val="22"/>
              </w:rPr>
              <w:t>Валюта кредита</w:t>
            </w:r>
          </w:p>
        </w:tc>
        <w:tc>
          <w:tcPr>
            <w:tcW w:w="10228" w:type="dxa"/>
            <w:gridSpan w:val="6"/>
          </w:tcPr>
          <w:p w:rsidR="00522927" w:rsidRDefault="00DB229B">
            <w:pPr>
              <w:ind w:left="42"/>
              <w:jc w:val="center"/>
            </w:pPr>
            <w:r w:rsidRPr="001A7100">
              <w:rPr>
                <w:sz w:val="22"/>
                <w:szCs w:val="22"/>
              </w:rPr>
              <w:t>Рубл</w:t>
            </w:r>
            <w:r w:rsidR="00795DC5">
              <w:rPr>
                <w:sz w:val="22"/>
                <w:szCs w:val="22"/>
              </w:rPr>
              <w:t>и</w:t>
            </w:r>
            <w:r w:rsidRPr="001A7100">
              <w:rPr>
                <w:sz w:val="22"/>
                <w:szCs w:val="22"/>
              </w:rPr>
              <w:t xml:space="preserve"> РФ</w:t>
            </w:r>
          </w:p>
        </w:tc>
      </w:tr>
      <w:tr w:rsidR="00DB229B" w:rsidRPr="001A7100" w:rsidTr="00E205AE">
        <w:tc>
          <w:tcPr>
            <w:tcW w:w="720" w:type="dxa"/>
            <w:vAlign w:val="center"/>
          </w:tcPr>
          <w:p w:rsidR="007F2447" w:rsidRDefault="00E205AE">
            <w:r>
              <w:rPr>
                <w:sz w:val="22"/>
                <w:szCs w:val="22"/>
              </w:rPr>
              <w:t>1.2</w:t>
            </w:r>
          </w:p>
        </w:tc>
        <w:tc>
          <w:tcPr>
            <w:tcW w:w="4860" w:type="dxa"/>
            <w:vAlign w:val="center"/>
          </w:tcPr>
          <w:p w:rsidR="007F2447" w:rsidRDefault="00DB229B">
            <w:r w:rsidRPr="001A7100">
              <w:rPr>
                <w:sz w:val="22"/>
                <w:szCs w:val="22"/>
              </w:rPr>
              <w:t>Срок кредита</w:t>
            </w:r>
          </w:p>
        </w:tc>
        <w:tc>
          <w:tcPr>
            <w:tcW w:w="10228" w:type="dxa"/>
            <w:gridSpan w:val="6"/>
          </w:tcPr>
          <w:p w:rsidR="00522927" w:rsidRDefault="008E5A3F">
            <w:pPr>
              <w:ind w:left="42"/>
              <w:jc w:val="center"/>
            </w:pPr>
            <w:r>
              <w:rPr>
                <w:sz w:val="22"/>
                <w:szCs w:val="22"/>
              </w:rPr>
              <w:t xml:space="preserve">От </w:t>
            </w:r>
            <w:r w:rsidR="00DB229B" w:rsidRPr="001A7100">
              <w:rPr>
                <w:sz w:val="22"/>
                <w:szCs w:val="22"/>
              </w:rPr>
              <w:t xml:space="preserve">36 </w:t>
            </w:r>
            <w:r>
              <w:rPr>
                <w:sz w:val="22"/>
                <w:szCs w:val="22"/>
              </w:rPr>
              <w:t>до</w:t>
            </w:r>
            <w:r w:rsidR="00DB229B" w:rsidRPr="001A7100">
              <w:rPr>
                <w:sz w:val="22"/>
                <w:szCs w:val="22"/>
              </w:rPr>
              <w:t xml:space="preserve"> 300 месяцев</w:t>
            </w:r>
          </w:p>
        </w:tc>
      </w:tr>
      <w:tr w:rsidR="00DB229B" w:rsidRPr="001A7100" w:rsidTr="00E205AE">
        <w:tc>
          <w:tcPr>
            <w:tcW w:w="720" w:type="dxa"/>
            <w:vAlign w:val="center"/>
          </w:tcPr>
          <w:p w:rsidR="007F2447" w:rsidRDefault="00E205AE">
            <w:r>
              <w:rPr>
                <w:sz w:val="22"/>
                <w:szCs w:val="22"/>
              </w:rPr>
              <w:t>1.3</w:t>
            </w:r>
          </w:p>
        </w:tc>
        <w:tc>
          <w:tcPr>
            <w:tcW w:w="4860" w:type="dxa"/>
            <w:vAlign w:val="center"/>
          </w:tcPr>
          <w:p w:rsidR="007F2447" w:rsidRDefault="00DB229B">
            <w:r w:rsidRPr="001A7100">
              <w:rPr>
                <w:sz w:val="22"/>
                <w:szCs w:val="22"/>
              </w:rPr>
              <w:t>Минимальная сумма кредита</w:t>
            </w:r>
          </w:p>
        </w:tc>
        <w:tc>
          <w:tcPr>
            <w:tcW w:w="10228" w:type="dxa"/>
            <w:gridSpan w:val="6"/>
          </w:tcPr>
          <w:p w:rsidR="00522927" w:rsidRDefault="00DB229B">
            <w:pPr>
              <w:ind w:left="42"/>
              <w:jc w:val="center"/>
            </w:pPr>
            <w:r w:rsidRPr="001A7100">
              <w:rPr>
                <w:sz w:val="22"/>
                <w:szCs w:val="22"/>
              </w:rPr>
              <w:t>300 000 рублей</w:t>
            </w:r>
            <w:r w:rsidR="004E2EFA">
              <w:rPr>
                <w:sz w:val="22"/>
                <w:szCs w:val="22"/>
              </w:rPr>
              <w:t xml:space="preserve"> РФ</w:t>
            </w:r>
          </w:p>
        </w:tc>
      </w:tr>
      <w:tr w:rsidR="00DB229B" w:rsidRPr="001A7100" w:rsidTr="00E205AE">
        <w:tc>
          <w:tcPr>
            <w:tcW w:w="720" w:type="dxa"/>
            <w:vAlign w:val="center"/>
          </w:tcPr>
          <w:p w:rsidR="007F2447" w:rsidRDefault="00E205AE">
            <w:r>
              <w:rPr>
                <w:sz w:val="22"/>
                <w:szCs w:val="22"/>
              </w:rPr>
              <w:t>1.4</w:t>
            </w:r>
          </w:p>
        </w:tc>
        <w:tc>
          <w:tcPr>
            <w:tcW w:w="4860" w:type="dxa"/>
            <w:vAlign w:val="center"/>
          </w:tcPr>
          <w:p w:rsidR="007F2447" w:rsidRDefault="00DB229B">
            <w:r w:rsidRPr="001A7100">
              <w:rPr>
                <w:sz w:val="22"/>
                <w:szCs w:val="22"/>
              </w:rPr>
              <w:t>Максимальная сумма кредита</w:t>
            </w:r>
          </w:p>
        </w:tc>
        <w:tc>
          <w:tcPr>
            <w:tcW w:w="10228" w:type="dxa"/>
            <w:gridSpan w:val="6"/>
          </w:tcPr>
          <w:p w:rsidR="00522927" w:rsidRDefault="002F1375">
            <w:pPr>
              <w:ind w:left="42"/>
              <w:jc w:val="center"/>
            </w:pPr>
            <w:r>
              <w:rPr>
                <w:sz w:val="22"/>
                <w:szCs w:val="22"/>
                <w:lang w:val="en-US"/>
              </w:rPr>
              <w:t>25</w:t>
            </w:r>
            <w:r w:rsidR="00DB229B" w:rsidRPr="001A7100">
              <w:rPr>
                <w:sz w:val="22"/>
                <w:szCs w:val="22"/>
              </w:rPr>
              <w:t> 000 000 рублей</w:t>
            </w:r>
            <w:r w:rsidR="004E2EFA">
              <w:rPr>
                <w:sz w:val="22"/>
                <w:szCs w:val="22"/>
              </w:rPr>
              <w:t xml:space="preserve"> РФ</w:t>
            </w:r>
            <w:r w:rsidR="004E2EFA">
              <w:rPr>
                <w:rStyle w:val="ac"/>
                <w:sz w:val="22"/>
                <w:szCs w:val="22"/>
              </w:rPr>
              <w:footnoteReference w:id="1"/>
            </w:r>
          </w:p>
        </w:tc>
      </w:tr>
      <w:tr w:rsidR="004E2EFA" w:rsidRPr="001A7100" w:rsidTr="00E205AE">
        <w:tc>
          <w:tcPr>
            <w:tcW w:w="720" w:type="dxa"/>
            <w:vAlign w:val="center"/>
          </w:tcPr>
          <w:p w:rsidR="007F2447" w:rsidRDefault="00E205AE">
            <w:pPr>
              <w:rPr>
                <w:sz w:val="22"/>
                <w:szCs w:val="22"/>
              </w:rPr>
            </w:pPr>
            <w:r>
              <w:rPr>
                <w:sz w:val="22"/>
                <w:szCs w:val="22"/>
              </w:rPr>
              <w:t>1.5</w:t>
            </w:r>
          </w:p>
        </w:tc>
        <w:tc>
          <w:tcPr>
            <w:tcW w:w="4860" w:type="dxa"/>
            <w:vAlign w:val="center"/>
          </w:tcPr>
          <w:p w:rsidR="007F2447" w:rsidRDefault="004E2EFA">
            <w:pPr>
              <w:rPr>
                <w:sz w:val="22"/>
                <w:szCs w:val="22"/>
              </w:rPr>
            </w:pPr>
            <w:r>
              <w:rPr>
                <w:sz w:val="22"/>
                <w:szCs w:val="22"/>
              </w:rPr>
              <w:t>Размер кредита</w:t>
            </w:r>
          </w:p>
        </w:tc>
        <w:tc>
          <w:tcPr>
            <w:tcW w:w="10228" w:type="dxa"/>
            <w:gridSpan w:val="6"/>
          </w:tcPr>
          <w:p w:rsidR="00522927" w:rsidRDefault="00822862">
            <w:pPr>
              <w:ind w:left="42"/>
              <w:jc w:val="center"/>
              <w:rPr>
                <w:sz w:val="22"/>
                <w:szCs w:val="22"/>
              </w:rPr>
            </w:pPr>
            <w:r>
              <w:rPr>
                <w:sz w:val="22"/>
                <w:szCs w:val="22"/>
              </w:rPr>
              <w:t>О</w:t>
            </w:r>
            <w:r w:rsidR="004E2EFA">
              <w:rPr>
                <w:sz w:val="22"/>
                <w:szCs w:val="22"/>
              </w:rPr>
              <w:t xml:space="preserve">т </w:t>
            </w:r>
            <w:r w:rsidR="003B40D7" w:rsidRPr="003B40D7">
              <w:rPr>
                <w:sz w:val="22"/>
                <w:szCs w:val="22"/>
              </w:rPr>
              <w:t>15</w:t>
            </w:r>
            <w:r w:rsidR="004E2EFA">
              <w:rPr>
                <w:sz w:val="22"/>
                <w:szCs w:val="22"/>
              </w:rPr>
              <w:t xml:space="preserve">% до 90% от стоимости </w:t>
            </w:r>
            <w:r w:rsidR="00775AA8">
              <w:rPr>
                <w:sz w:val="22"/>
                <w:szCs w:val="22"/>
              </w:rPr>
              <w:t>приобретаемой недвижимости</w:t>
            </w:r>
            <w:r w:rsidR="00775AA8">
              <w:rPr>
                <w:rStyle w:val="ac"/>
                <w:sz w:val="22"/>
                <w:szCs w:val="22"/>
              </w:rPr>
              <w:footnoteReference w:id="2"/>
            </w:r>
          </w:p>
        </w:tc>
      </w:tr>
      <w:tr w:rsidR="00B3561B" w:rsidRPr="001A7100" w:rsidTr="00E205AE">
        <w:trPr>
          <w:trHeight w:val="696"/>
        </w:trPr>
        <w:tc>
          <w:tcPr>
            <w:tcW w:w="720" w:type="dxa"/>
            <w:vMerge w:val="restart"/>
            <w:vAlign w:val="center"/>
          </w:tcPr>
          <w:p w:rsidR="007F2447" w:rsidRDefault="00E205AE">
            <w:r>
              <w:rPr>
                <w:sz w:val="22"/>
                <w:szCs w:val="22"/>
              </w:rPr>
              <w:t>1.6</w:t>
            </w:r>
          </w:p>
        </w:tc>
        <w:tc>
          <w:tcPr>
            <w:tcW w:w="4860" w:type="dxa"/>
            <w:vMerge w:val="restart"/>
            <w:vAlign w:val="center"/>
          </w:tcPr>
          <w:p w:rsidR="007F2447" w:rsidRDefault="00B3561B">
            <w:r w:rsidRPr="001A7100">
              <w:rPr>
                <w:sz w:val="22"/>
                <w:szCs w:val="22"/>
              </w:rPr>
              <w:t>Годовая процентная ставка</w:t>
            </w:r>
          </w:p>
        </w:tc>
        <w:tc>
          <w:tcPr>
            <w:tcW w:w="2045" w:type="dxa"/>
            <w:vMerge w:val="restart"/>
            <w:vAlign w:val="center"/>
          </w:tcPr>
          <w:p w:rsidR="007F2447" w:rsidRDefault="00B3561B">
            <w:pPr>
              <w:jc w:val="center"/>
            </w:pPr>
            <w:r>
              <w:rPr>
                <w:sz w:val="22"/>
                <w:szCs w:val="22"/>
              </w:rPr>
              <w:t>Срок кредита</w:t>
            </w:r>
          </w:p>
        </w:tc>
        <w:tc>
          <w:tcPr>
            <w:tcW w:w="8183" w:type="dxa"/>
            <w:gridSpan w:val="5"/>
            <w:vAlign w:val="center"/>
          </w:tcPr>
          <w:p w:rsidR="00B3561B" w:rsidRDefault="00B3561B" w:rsidP="00B3561B">
            <w:pPr>
              <w:jc w:val="center"/>
              <w:rPr>
                <w:sz w:val="22"/>
                <w:szCs w:val="22"/>
              </w:rPr>
            </w:pPr>
            <w:r>
              <w:rPr>
                <w:sz w:val="22"/>
                <w:szCs w:val="22"/>
              </w:rPr>
              <w:t>Первоначальный взнос</w:t>
            </w:r>
            <w:proofErr w:type="gramStart"/>
            <w:r w:rsidR="007E670C" w:rsidRPr="006405A6">
              <w:rPr>
                <w:sz w:val="22"/>
                <w:szCs w:val="22"/>
                <w:vertAlign w:val="superscript"/>
              </w:rPr>
              <w:t>2</w:t>
            </w:r>
            <w:proofErr w:type="gramEnd"/>
            <w:r>
              <w:rPr>
                <w:sz w:val="22"/>
                <w:szCs w:val="22"/>
              </w:rPr>
              <w:t xml:space="preserve"> </w:t>
            </w:r>
          </w:p>
          <w:p w:rsidR="007F2447" w:rsidRDefault="00B3561B">
            <w:pPr>
              <w:keepNext/>
              <w:jc w:val="center"/>
              <w:outlineLvl w:val="2"/>
            </w:pPr>
            <w:r>
              <w:rPr>
                <w:sz w:val="22"/>
                <w:szCs w:val="22"/>
              </w:rPr>
              <w:t>(</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стоимости приобретаемой недвижимости)</w:t>
            </w:r>
          </w:p>
        </w:tc>
      </w:tr>
      <w:tr w:rsidR="000A0354" w:rsidRPr="001A7100" w:rsidTr="00404E38">
        <w:trPr>
          <w:trHeight w:val="20"/>
        </w:trPr>
        <w:tc>
          <w:tcPr>
            <w:tcW w:w="720" w:type="dxa"/>
            <w:vMerge/>
            <w:vAlign w:val="center"/>
          </w:tcPr>
          <w:p w:rsidR="007F2447" w:rsidRDefault="007F2447">
            <w:pPr>
              <w:rPr>
                <w:sz w:val="22"/>
                <w:szCs w:val="22"/>
              </w:rPr>
            </w:pPr>
          </w:p>
        </w:tc>
        <w:tc>
          <w:tcPr>
            <w:tcW w:w="4860" w:type="dxa"/>
            <w:vMerge/>
            <w:vAlign w:val="center"/>
          </w:tcPr>
          <w:p w:rsidR="000A0354" w:rsidRPr="001A7100" w:rsidRDefault="000A0354" w:rsidP="00072054">
            <w:pPr>
              <w:rPr>
                <w:sz w:val="22"/>
                <w:szCs w:val="22"/>
              </w:rPr>
            </w:pPr>
          </w:p>
        </w:tc>
        <w:tc>
          <w:tcPr>
            <w:tcW w:w="2045" w:type="dxa"/>
            <w:vMerge/>
            <w:vAlign w:val="center"/>
          </w:tcPr>
          <w:p w:rsidR="007F2447" w:rsidRDefault="007F2447">
            <w:pPr>
              <w:jc w:val="center"/>
              <w:rPr>
                <w:sz w:val="22"/>
                <w:szCs w:val="22"/>
              </w:rPr>
            </w:pPr>
          </w:p>
        </w:tc>
        <w:tc>
          <w:tcPr>
            <w:tcW w:w="2046" w:type="dxa"/>
            <w:vAlign w:val="center"/>
          </w:tcPr>
          <w:p w:rsidR="007F2447" w:rsidRDefault="00B3561B">
            <w:pPr>
              <w:jc w:val="center"/>
              <w:rPr>
                <w:sz w:val="22"/>
                <w:szCs w:val="22"/>
              </w:rPr>
            </w:pPr>
            <w:r>
              <w:rPr>
                <w:sz w:val="22"/>
                <w:szCs w:val="22"/>
              </w:rPr>
              <w:t>от 10,00 до 19,99</w:t>
            </w:r>
          </w:p>
        </w:tc>
        <w:tc>
          <w:tcPr>
            <w:tcW w:w="2045" w:type="dxa"/>
            <w:gridSpan w:val="2"/>
            <w:vAlign w:val="center"/>
          </w:tcPr>
          <w:p w:rsidR="007F2447" w:rsidRDefault="00B3561B">
            <w:pPr>
              <w:jc w:val="center"/>
              <w:rPr>
                <w:sz w:val="22"/>
                <w:szCs w:val="22"/>
              </w:rPr>
            </w:pPr>
            <w:r>
              <w:rPr>
                <w:sz w:val="22"/>
                <w:szCs w:val="22"/>
              </w:rPr>
              <w:t>от 20,00 до 39,99</w:t>
            </w:r>
          </w:p>
        </w:tc>
        <w:tc>
          <w:tcPr>
            <w:tcW w:w="2046" w:type="dxa"/>
            <w:vAlign w:val="center"/>
          </w:tcPr>
          <w:p w:rsidR="007F2447" w:rsidRDefault="00B3561B">
            <w:pPr>
              <w:jc w:val="center"/>
              <w:rPr>
                <w:sz w:val="22"/>
                <w:szCs w:val="22"/>
              </w:rPr>
            </w:pPr>
            <w:r>
              <w:rPr>
                <w:sz w:val="22"/>
                <w:szCs w:val="22"/>
              </w:rPr>
              <w:t>от 40,00 до 59,99</w:t>
            </w:r>
          </w:p>
        </w:tc>
        <w:tc>
          <w:tcPr>
            <w:tcW w:w="2046" w:type="dxa"/>
            <w:vAlign w:val="center"/>
          </w:tcPr>
          <w:p w:rsidR="007F2447" w:rsidRDefault="00B3561B">
            <w:pPr>
              <w:jc w:val="center"/>
              <w:rPr>
                <w:sz w:val="22"/>
                <w:szCs w:val="22"/>
              </w:rPr>
            </w:pPr>
            <w:r>
              <w:rPr>
                <w:sz w:val="22"/>
                <w:szCs w:val="22"/>
              </w:rPr>
              <w:t xml:space="preserve">от 60,00 до </w:t>
            </w:r>
            <w:r w:rsidR="00137D68">
              <w:rPr>
                <w:sz w:val="22"/>
                <w:szCs w:val="22"/>
                <w:lang w:val="en-US"/>
              </w:rPr>
              <w:t>85</w:t>
            </w:r>
            <w:r>
              <w:rPr>
                <w:sz w:val="22"/>
                <w:szCs w:val="22"/>
              </w:rPr>
              <w:t>,00</w:t>
            </w:r>
          </w:p>
        </w:tc>
      </w:tr>
      <w:tr w:rsidR="00A41DDE" w:rsidRPr="001A7100" w:rsidTr="00404E38">
        <w:trPr>
          <w:trHeight w:val="20"/>
        </w:trPr>
        <w:tc>
          <w:tcPr>
            <w:tcW w:w="720" w:type="dxa"/>
            <w:vMerge/>
            <w:vAlign w:val="center"/>
          </w:tcPr>
          <w:p w:rsidR="00A41DDE" w:rsidRDefault="00A41DDE">
            <w:pPr>
              <w:rPr>
                <w:sz w:val="22"/>
                <w:szCs w:val="22"/>
              </w:rPr>
            </w:pPr>
          </w:p>
        </w:tc>
        <w:tc>
          <w:tcPr>
            <w:tcW w:w="4860" w:type="dxa"/>
            <w:vMerge/>
            <w:vAlign w:val="center"/>
          </w:tcPr>
          <w:p w:rsidR="00A41DDE" w:rsidRPr="001A7100" w:rsidRDefault="00A41DDE" w:rsidP="00072054">
            <w:pPr>
              <w:rPr>
                <w:sz w:val="22"/>
                <w:szCs w:val="22"/>
              </w:rPr>
            </w:pPr>
          </w:p>
        </w:tc>
        <w:tc>
          <w:tcPr>
            <w:tcW w:w="2045" w:type="dxa"/>
            <w:vAlign w:val="center"/>
          </w:tcPr>
          <w:p w:rsidR="00A41DDE" w:rsidRDefault="00A41DDE">
            <w:pPr>
              <w:jc w:val="center"/>
              <w:rPr>
                <w:sz w:val="22"/>
                <w:szCs w:val="22"/>
              </w:rPr>
            </w:pPr>
            <w:r>
              <w:rPr>
                <w:sz w:val="22"/>
                <w:szCs w:val="22"/>
              </w:rPr>
              <w:t>до 5 лет</w:t>
            </w:r>
          </w:p>
        </w:tc>
        <w:tc>
          <w:tcPr>
            <w:tcW w:w="2046" w:type="dxa"/>
            <w:vAlign w:val="center"/>
          </w:tcPr>
          <w:p w:rsidR="00A41DDE" w:rsidRDefault="005261B4">
            <w:pPr>
              <w:jc w:val="center"/>
              <w:rPr>
                <w:sz w:val="22"/>
                <w:szCs w:val="22"/>
              </w:rPr>
            </w:pPr>
            <w:r>
              <w:rPr>
                <w:sz w:val="22"/>
                <w:szCs w:val="22"/>
              </w:rPr>
              <w:t>13,00%</w:t>
            </w:r>
          </w:p>
        </w:tc>
        <w:tc>
          <w:tcPr>
            <w:tcW w:w="2045" w:type="dxa"/>
            <w:gridSpan w:val="2"/>
            <w:vAlign w:val="center"/>
          </w:tcPr>
          <w:p w:rsidR="00A41DDE" w:rsidRDefault="005261B4">
            <w:pPr>
              <w:jc w:val="center"/>
              <w:rPr>
                <w:sz w:val="22"/>
                <w:szCs w:val="22"/>
              </w:rPr>
            </w:pPr>
            <w:r>
              <w:rPr>
                <w:sz w:val="22"/>
                <w:szCs w:val="22"/>
              </w:rPr>
              <w:t>12,75%</w:t>
            </w:r>
          </w:p>
        </w:tc>
        <w:tc>
          <w:tcPr>
            <w:tcW w:w="2046" w:type="dxa"/>
            <w:vAlign w:val="center"/>
          </w:tcPr>
          <w:p w:rsidR="00A41DDE" w:rsidRDefault="005261B4">
            <w:pPr>
              <w:jc w:val="center"/>
              <w:rPr>
                <w:sz w:val="22"/>
                <w:szCs w:val="22"/>
              </w:rPr>
            </w:pPr>
            <w:r>
              <w:rPr>
                <w:sz w:val="22"/>
                <w:szCs w:val="22"/>
              </w:rPr>
              <w:t>12,50%</w:t>
            </w:r>
          </w:p>
        </w:tc>
        <w:tc>
          <w:tcPr>
            <w:tcW w:w="2046" w:type="dxa"/>
            <w:vAlign w:val="center"/>
          </w:tcPr>
          <w:p w:rsidR="00A41DDE" w:rsidRDefault="00A41DDE">
            <w:pPr>
              <w:jc w:val="center"/>
              <w:rPr>
                <w:sz w:val="22"/>
                <w:szCs w:val="22"/>
              </w:rPr>
            </w:pPr>
            <w:r w:rsidRPr="00BC35A8">
              <w:rPr>
                <w:sz w:val="22"/>
                <w:szCs w:val="22"/>
              </w:rPr>
              <w:t>11,</w:t>
            </w:r>
            <w:r>
              <w:rPr>
                <w:sz w:val="22"/>
                <w:szCs w:val="22"/>
              </w:rPr>
              <w:t>75</w:t>
            </w:r>
            <w:r w:rsidRPr="00BC35A8">
              <w:rPr>
                <w:sz w:val="22"/>
                <w:szCs w:val="22"/>
              </w:rPr>
              <w:t xml:space="preserve">% </w:t>
            </w:r>
          </w:p>
        </w:tc>
      </w:tr>
      <w:tr w:rsidR="00A41DDE" w:rsidRPr="001A7100" w:rsidTr="00404E38">
        <w:trPr>
          <w:trHeight w:val="20"/>
        </w:trPr>
        <w:tc>
          <w:tcPr>
            <w:tcW w:w="720" w:type="dxa"/>
            <w:vMerge/>
            <w:vAlign w:val="center"/>
          </w:tcPr>
          <w:p w:rsidR="00A41DDE" w:rsidRDefault="00A41DDE">
            <w:pPr>
              <w:rPr>
                <w:sz w:val="22"/>
                <w:szCs w:val="22"/>
              </w:rPr>
            </w:pPr>
          </w:p>
        </w:tc>
        <w:tc>
          <w:tcPr>
            <w:tcW w:w="4860" w:type="dxa"/>
            <w:vMerge/>
            <w:vAlign w:val="center"/>
          </w:tcPr>
          <w:p w:rsidR="00A41DDE" w:rsidRPr="001A7100" w:rsidRDefault="00A41DDE" w:rsidP="00072054">
            <w:pPr>
              <w:rPr>
                <w:sz w:val="22"/>
                <w:szCs w:val="22"/>
              </w:rPr>
            </w:pPr>
          </w:p>
        </w:tc>
        <w:tc>
          <w:tcPr>
            <w:tcW w:w="2045" w:type="dxa"/>
            <w:vAlign w:val="center"/>
          </w:tcPr>
          <w:p w:rsidR="00A41DDE" w:rsidRDefault="00A41DDE">
            <w:pPr>
              <w:jc w:val="center"/>
              <w:rPr>
                <w:sz w:val="22"/>
                <w:szCs w:val="22"/>
              </w:rPr>
            </w:pPr>
            <w:r>
              <w:rPr>
                <w:sz w:val="22"/>
                <w:szCs w:val="22"/>
              </w:rPr>
              <w:t>до 15 лет</w:t>
            </w:r>
          </w:p>
        </w:tc>
        <w:tc>
          <w:tcPr>
            <w:tcW w:w="2046" w:type="dxa"/>
            <w:vAlign w:val="center"/>
          </w:tcPr>
          <w:p w:rsidR="00A41DDE" w:rsidRDefault="005261B4">
            <w:pPr>
              <w:jc w:val="center"/>
              <w:rPr>
                <w:sz w:val="22"/>
                <w:szCs w:val="22"/>
              </w:rPr>
            </w:pPr>
            <w:r>
              <w:rPr>
                <w:sz w:val="22"/>
                <w:szCs w:val="22"/>
              </w:rPr>
              <w:t>13,25%</w:t>
            </w:r>
          </w:p>
        </w:tc>
        <w:tc>
          <w:tcPr>
            <w:tcW w:w="2045" w:type="dxa"/>
            <w:gridSpan w:val="2"/>
            <w:vAlign w:val="center"/>
          </w:tcPr>
          <w:p w:rsidR="00A41DDE" w:rsidRDefault="005261B4">
            <w:pPr>
              <w:jc w:val="center"/>
              <w:rPr>
                <w:sz w:val="22"/>
                <w:szCs w:val="22"/>
              </w:rPr>
            </w:pPr>
            <w:r>
              <w:rPr>
                <w:sz w:val="22"/>
                <w:szCs w:val="22"/>
              </w:rPr>
              <w:t>13,00%</w:t>
            </w:r>
          </w:p>
        </w:tc>
        <w:tc>
          <w:tcPr>
            <w:tcW w:w="2046" w:type="dxa"/>
            <w:vAlign w:val="center"/>
          </w:tcPr>
          <w:p w:rsidR="00A41DDE" w:rsidRDefault="005261B4">
            <w:pPr>
              <w:jc w:val="center"/>
              <w:rPr>
                <w:sz w:val="22"/>
                <w:szCs w:val="22"/>
              </w:rPr>
            </w:pPr>
            <w:r>
              <w:rPr>
                <w:sz w:val="22"/>
                <w:szCs w:val="22"/>
              </w:rPr>
              <w:t>12,75%</w:t>
            </w:r>
          </w:p>
        </w:tc>
        <w:tc>
          <w:tcPr>
            <w:tcW w:w="2046" w:type="dxa"/>
            <w:vAlign w:val="center"/>
          </w:tcPr>
          <w:p w:rsidR="00A41DDE" w:rsidRDefault="005261B4">
            <w:pPr>
              <w:jc w:val="center"/>
              <w:rPr>
                <w:sz w:val="22"/>
                <w:szCs w:val="22"/>
              </w:rPr>
            </w:pPr>
            <w:r>
              <w:rPr>
                <w:sz w:val="22"/>
                <w:szCs w:val="22"/>
              </w:rPr>
              <w:t>12,50%</w:t>
            </w:r>
          </w:p>
        </w:tc>
      </w:tr>
      <w:tr w:rsidR="00A41DDE" w:rsidRPr="001A7100" w:rsidTr="00404E38">
        <w:trPr>
          <w:trHeight w:val="20"/>
        </w:trPr>
        <w:tc>
          <w:tcPr>
            <w:tcW w:w="720" w:type="dxa"/>
            <w:vMerge/>
            <w:vAlign w:val="center"/>
          </w:tcPr>
          <w:p w:rsidR="00A41DDE" w:rsidRDefault="00A41DDE">
            <w:pPr>
              <w:rPr>
                <w:sz w:val="22"/>
                <w:szCs w:val="22"/>
              </w:rPr>
            </w:pPr>
          </w:p>
        </w:tc>
        <w:tc>
          <w:tcPr>
            <w:tcW w:w="4860" w:type="dxa"/>
            <w:vMerge/>
            <w:vAlign w:val="center"/>
          </w:tcPr>
          <w:p w:rsidR="00A41DDE" w:rsidRPr="001A7100" w:rsidRDefault="00A41DDE" w:rsidP="00072054">
            <w:pPr>
              <w:rPr>
                <w:sz w:val="22"/>
                <w:szCs w:val="22"/>
              </w:rPr>
            </w:pPr>
          </w:p>
        </w:tc>
        <w:tc>
          <w:tcPr>
            <w:tcW w:w="2045" w:type="dxa"/>
            <w:vAlign w:val="center"/>
          </w:tcPr>
          <w:p w:rsidR="00A41DDE" w:rsidRDefault="00A41DDE">
            <w:pPr>
              <w:jc w:val="center"/>
              <w:rPr>
                <w:sz w:val="22"/>
                <w:szCs w:val="22"/>
              </w:rPr>
            </w:pPr>
            <w:r>
              <w:rPr>
                <w:sz w:val="22"/>
                <w:szCs w:val="22"/>
              </w:rPr>
              <w:t>до 25 лет</w:t>
            </w:r>
          </w:p>
        </w:tc>
        <w:tc>
          <w:tcPr>
            <w:tcW w:w="2046" w:type="dxa"/>
            <w:vAlign w:val="center"/>
          </w:tcPr>
          <w:p w:rsidR="00A41DDE" w:rsidRPr="005261B4" w:rsidRDefault="005261B4">
            <w:pPr>
              <w:jc w:val="center"/>
              <w:rPr>
                <w:sz w:val="22"/>
                <w:szCs w:val="22"/>
              </w:rPr>
            </w:pPr>
            <w:r>
              <w:rPr>
                <w:sz w:val="22"/>
                <w:szCs w:val="22"/>
              </w:rPr>
              <w:t>13,50%</w:t>
            </w:r>
          </w:p>
        </w:tc>
        <w:tc>
          <w:tcPr>
            <w:tcW w:w="2045" w:type="dxa"/>
            <w:gridSpan w:val="2"/>
            <w:vAlign w:val="center"/>
          </w:tcPr>
          <w:p w:rsidR="00A41DDE" w:rsidRDefault="005261B4">
            <w:pPr>
              <w:jc w:val="center"/>
              <w:rPr>
                <w:sz w:val="22"/>
                <w:szCs w:val="22"/>
              </w:rPr>
            </w:pPr>
            <w:r>
              <w:rPr>
                <w:sz w:val="22"/>
                <w:szCs w:val="22"/>
              </w:rPr>
              <w:t>13,25%</w:t>
            </w:r>
          </w:p>
        </w:tc>
        <w:tc>
          <w:tcPr>
            <w:tcW w:w="2046" w:type="dxa"/>
            <w:vAlign w:val="center"/>
          </w:tcPr>
          <w:p w:rsidR="00A41DDE" w:rsidRDefault="005261B4">
            <w:pPr>
              <w:jc w:val="center"/>
              <w:rPr>
                <w:sz w:val="22"/>
                <w:szCs w:val="22"/>
              </w:rPr>
            </w:pPr>
            <w:r>
              <w:rPr>
                <w:sz w:val="22"/>
                <w:szCs w:val="22"/>
              </w:rPr>
              <w:t>13,00%</w:t>
            </w:r>
          </w:p>
        </w:tc>
        <w:tc>
          <w:tcPr>
            <w:tcW w:w="2046" w:type="dxa"/>
            <w:vAlign w:val="center"/>
          </w:tcPr>
          <w:p w:rsidR="00A41DDE" w:rsidRDefault="005261B4">
            <w:pPr>
              <w:jc w:val="center"/>
              <w:rPr>
                <w:sz w:val="22"/>
                <w:szCs w:val="22"/>
              </w:rPr>
            </w:pPr>
            <w:r>
              <w:rPr>
                <w:sz w:val="22"/>
                <w:szCs w:val="22"/>
              </w:rPr>
              <w:t>12,75%</w:t>
            </w:r>
          </w:p>
        </w:tc>
      </w:tr>
      <w:tr w:rsidR="000A0354" w:rsidRPr="001A7100" w:rsidTr="00BF2AA7">
        <w:trPr>
          <w:trHeight w:val="149"/>
        </w:trPr>
        <w:tc>
          <w:tcPr>
            <w:tcW w:w="720" w:type="dxa"/>
            <w:vMerge/>
            <w:vAlign w:val="center"/>
          </w:tcPr>
          <w:p w:rsidR="007F2447" w:rsidRDefault="007F2447"/>
        </w:tc>
        <w:tc>
          <w:tcPr>
            <w:tcW w:w="4860" w:type="dxa"/>
            <w:vMerge/>
            <w:vAlign w:val="center"/>
          </w:tcPr>
          <w:p w:rsidR="007F2447" w:rsidRDefault="007F2447"/>
        </w:tc>
        <w:tc>
          <w:tcPr>
            <w:tcW w:w="6129" w:type="dxa"/>
            <w:gridSpan w:val="3"/>
            <w:vAlign w:val="center"/>
          </w:tcPr>
          <w:p w:rsidR="007F2447" w:rsidRDefault="000A6579">
            <w:pPr>
              <w:keepNext/>
              <w:outlineLvl w:val="2"/>
            </w:pPr>
            <w:r>
              <w:rPr>
                <w:sz w:val="22"/>
                <w:szCs w:val="22"/>
              </w:rPr>
              <w:t>При отсутствии личного страхования</w:t>
            </w:r>
          </w:p>
        </w:tc>
        <w:tc>
          <w:tcPr>
            <w:tcW w:w="4099" w:type="dxa"/>
            <w:gridSpan w:val="3"/>
            <w:vAlign w:val="center"/>
          </w:tcPr>
          <w:p w:rsidR="00522927" w:rsidRDefault="000A6579">
            <w:pPr>
              <w:keepNext/>
              <w:jc w:val="center"/>
              <w:outlineLvl w:val="2"/>
              <w:rPr>
                <w:highlight w:val="yellow"/>
              </w:rPr>
            </w:pPr>
            <w:r>
              <w:rPr>
                <w:sz w:val="22"/>
                <w:szCs w:val="22"/>
              </w:rPr>
              <w:t>+4,00% годовых</w:t>
            </w:r>
          </w:p>
        </w:tc>
      </w:tr>
      <w:tr w:rsidR="000F332D" w:rsidRPr="001A7100" w:rsidTr="00BF2AA7">
        <w:trPr>
          <w:trHeight w:val="149"/>
        </w:trPr>
        <w:tc>
          <w:tcPr>
            <w:tcW w:w="720" w:type="dxa"/>
            <w:vMerge/>
            <w:vAlign w:val="center"/>
          </w:tcPr>
          <w:p w:rsidR="007F2447" w:rsidRDefault="007F2447"/>
        </w:tc>
        <w:tc>
          <w:tcPr>
            <w:tcW w:w="4860" w:type="dxa"/>
            <w:vMerge/>
            <w:vAlign w:val="center"/>
          </w:tcPr>
          <w:p w:rsidR="000F332D" w:rsidRPr="001A7100" w:rsidRDefault="000F332D" w:rsidP="00072054"/>
        </w:tc>
        <w:tc>
          <w:tcPr>
            <w:tcW w:w="6129" w:type="dxa"/>
            <w:gridSpan w:val="3"/>
            <w:vAlign w:val="center"/>
          </w:tcPr>
          <w:p w:rsidR="000F332D" w:rsidRPr="001A7100" w:rsidDel="000A6579" w:rsidRDefault="000F332D" w:rsidP="000A6579">
            <w:pPr>
              <w:keepNext/>
              <w:outlineLvl w:val="2"/>
              <w:rPr>
                <w:sz w:val="22"/>
                <w:szCs w:val="22"/>
              </w:rPr>
            </w:pPr>
            <w:r>
              <w:rPr>
                <w:sz w:val="22"/>
                <w:szCs w:val="22"/>
              </w:rPr>
              <w:t>При отсутствии титульного страхования</w:t>
            </w:r>
          </w:p>
        </w:tc>
        <w:tc>
          <w:tcPr>
            <w:tcW w:w="4099" w:type="dxa"/>
            <w:gridSpan w:val="3"/>
            <w:vAlign w:val="center"/>
          </w:tcPr>
          <w:p w:rsidR="00522927" w:rsidRDefault="000F332D">
            <w:pPr>
              <w:keepNext/>
              <w:jc w:val="center"/>
              <w:outlineLvl w:val="2"/>
              <w:rPr>
                <w:sz w:val="22"/>
                <w:szCs w:val="22"/>
              </w:rPr>
            </w:pPr>
            <w:r>
              <w:rPr>
                <w:sz w:val="22"/>
                <w:szCs w:val="22"/>
              </w:rPr>
              <w:t>+1,00% годовых</w:t>
            </w:r>
          </w:p>
        </w:tc>
      </w:tr>
      <w:tr w:rsidR="000F332D" w:rsidRPr="001A7100" w:rsidTr="00BF2AA7">
        <w:trPr>
          <w:trHeight w:val="149"/>
        </w:trPr>
        <w:tc>
          <w:tcPr>
            <w:tcW w:w="720" w:type="dxa"/>
            <w:vMerge/>
            <w:vAlign w:val="center"/>
          </w:tcPr>
          <w:p w:rsidR="007F2447" w:rsidRDefault="007F2447"/>
        </w:tc>
        <w:tc>
          <w:tcPr>
            <w:tcW w:w="4860" w:type="dxa"/>
            <w:vMerge/>
            <w:vAlign w:val="center"/>
          </w:tcPr>
          <w:p w:rsidR="007F2447" w:rsidRDefault="007F2447"/>
        </w:tc>
        <w:tc>
          <w:tcPr>
            <w:tcW w:w="6129" w:type="dxa"/>
            <w:gridSpan w:val="3"/>
            <w:vAlign w:val="center"/>
          </w:tcPr>
          <w:p w:rsidR="007F2447" w:rsidRDefault="00E0608C">
            <w:pPr>
              <w:keepNext/>
              <w:outlineLvl w:val="2"/>
            </w:pPr>
            <w:r>
              <w:rPr>
                <w:sz w:val="22"/>
                <w:szCs w:val="22"/>
              </w:rPr>
              <w:t>Д</w:t>
            </w:r>
            <w:r w:rsidR="000F332D" w:rsidRPr="001A7100">
              <w:rPr>
                <w:sz w:val="22"/>
                <w:szCs w:val="22"/>
              </w:rPr>
              <w:t>ля клиентов</w:t>
            </w:r>
            <w:r w:rsidR="000F332D" w:rsidRPr="001A7100">
              <w:rPr>
                <w:sz w:val="22"/>
                <w:szCs w:val="22"/>
                <w:vertAlign w:val="superscript"/>
              </w:rPr>
              <w:t xml:space="preserve"> </w:t>
            </w:r>
            <w:r w:rsidR="0053096D">
              <w:rPr>
                <w:sz w:val="22"/>
                <w:szCs w:val="22"/>
              </w:rPr>
              <w:t>ОАО «МТС-Банк»</w:t>
            </w:r>
            <w:r w:rsidR="000F332D" w:rsidRPr="001A7100">
              <w:rPr>
                <w:sz w:val="22"/>
                <w:szCs w:val="22"/>
              </w:rPr>
              <w:t xml:space="preserve">, параметры кредитования которых хотя бы по одной позиции не соответствуют требованиям </w:t>
            </w:r>
            <w:r w:rsidR="0053096D">
              <w:rPr>
                <w:sz w:val="22"/>
                <w:szCs w:val="22"/>
              </w:rPr>
              <w:t>ОАО «МТС-БАНК»</w:t>
            </w:r>
            <w:r w:rsidR="000F332D">
              <w:rPr>
                <w:rStyle w:val="ac"/>
                <w:sz w:val="22"/>
                <w:szCs w:val="22"/>
              </w:rPr>
              <w:footnoteReference w:id="3"/>
            </w:r>
          </w:p>
        </w:tc>
        <w:tc>
          <w:tcPr>
            <w:tcW w:w="4099" w:type="dxa"/>
            <w:gridSpan w:val="3"/>
            <w:vAlign w:val="center"/>
          </w:tcPr>
          <w:p w:rsidR="00522927" w:rsidRDefault="000F332D">
            <w:pPr>
              <w:keepNext/>
              <w:jc w:val="center"/>
              <w:outlineLvl w:val="2"/>
              <w:rPr>
                <w:highlight w:val="yellow"/>
              </w:rPr>
            </w:pPr>
            <w:r>
              <w:rPr>
                <w:sz w:val="22"/>
                <w:szCs w:val="22"/>
              </w:rPr>
              <w:t>+1,00% годовых</w:t>
            </w:r>
          </w:p>
        </w:tc>
      </w:tr>
      <w:tr w:rsidR="00E46AA9" w:rsidRPr="001A7100" w:rsidTr="00E205AE">
        <w:trPr>
          <w:trHeight w:val="255"/>
        </w:trPr>
        <w:tc>
          <w:tcPr>
            <w:tcW w:w="720" w:type="dxa"/>
            <w:vAlign w:val="center"/>
          </w:tcPr>
          <w:p w:rsidR="007F2447" w:rsidRDefault="00E205AE">
            <w:r>
              <w:rPr>
                <w:sz w:val="22"/>
                <w:szCs w:val="22"/>
              </w:rPr>
              <w:t>1.</w:t>
            </w:r>
            <w:r w:rsidR="004C08DD">
              <w:rPr>
                <w:sz w:val="22"/>
                <w:szCs w:val="22"/>
              </w:rPr>
              <w:t>7</w:t>
            </w:r>
          </w:p>
        </w:tc>
        <w:tc>
          <w:tcPr>
            <w:tcW w:w="4860" w:type="dxa"/>
            <w:vAlign w:val="center"/>
          </w:tcPr>
          <w:p w:rsidR="007F2447" w:rsidRDefault="00E46AA9">
            <w:r w:rsidRPr="001A7100">
              <w:rPr>
                <w:sz w:val="22"/>
                <w:szCs w:val="22"/>
              </w:rPr>
              <w:t>Штраф за неисполнение обязательств по кредитному договору (по возврату кредита/</w:t>
            </w:r>
            <w:r>
              <w:rPr>
                <w:sz w:val="22"/>
                <w:szCs w:val="22"/>
              </w:rPr>
              <w:t xml:space="preserve"> </w:t>
            </w:r>
            <w:r w:rsidRPr="001A7100">
              <w:rPr>
                <w:sz w:val="22"/>
                <w:szCs w:val="22"/>
              </w:rPr>
              <w:t>или уплате начисленных процентов за пользование кредитом)</w:t>
            </w:r>
          </w:p>
        </w:tc>
        <w:tc>
          <w:tcPr>
            <w:tcW w:w="10228" w:type="dxa"/>
            <w:gridSpan w:val="6"/>
            <w:vAlign w:val="center"/>
          </w:tcPr>
          <w:p w:rsidR="00E46AA9" w:rsidRPr="001A7100" w:rsidRDefault="00E46AA9" w:rsidP="007232BA">
            <w:pPr>
              <w:jc w:val="center"/>
            </w:pPr>
            <w:r w:rsidRPr="00DB58F4">
              <w:rPr>
                <w:sz w:val="22"/>
                <w:szCs w:val="22"/>
              </w:rPr>
              <w:t>0,2% от суммы просроченной задолженности ежедневно</w:t>
            </w:r>
          </w:p>
        </w:tc>
      </w:tr>
      <w:tr w:rsidR="00E46AA9" w:rsidRPr="001A7100" w:rsidTr="00E205AE">
        <w:trPr>
          <w:trHeight w:val="255"/>
        </w:trPr>
        <w:tc>
          <w:tcPr>
            <w:tcW w:w="720" w:type="dxa"/>
            <w:vAlign w:val="center"/>
          </w:tcPr>
          <w:p w:rsidR="007F2447" w:rsidRDefault="00E205AE">
            <w:r>
              <w:rPr>
                <w:sz w:val="22"/>
                <w:szCs w:val="22"/>
              </w:rPr>
              <w:t>1.</w:t>
            </w:r>
            <w:r w:rsidR="004C08DD">
              <w:rPr>
                <w:sz w:val="22"/>
                <w:szCs w:val="22"/>
              </w:rPr>
              <w:t>8</w:t>
            </w:r>
          </w:p>
        </w:tc>
        <w:tc>
          <w:tcPr>
            <w:tcW w:w="4860" w:type="dxa"/>
            <w:vAlign w:val="center"/>
          </w:tcPr>
          <w:p w:rsidR="007F2447" w:rsidRDefault="00E46AA9">
            <w:pPr>
              <w:keepNext/>
              <w:outlineLvl w:val="2"/>
            </w:pPr>
            <w:proofErr w:type="gramStart"/>
            <w:r w:rsidRPr="001A7100">
              <w:rPr>
                <w:sz w:val="22"/>
                <w:szCs w:val="22"/>
              </w:rPr>
              <w:t>Штрафные санкции за нарушение обязанности по своевременному продлению срока действия заключенных договоров страхования (оплаты очередной страховой премии (страховых взносов)) за каждый факт нарушения сроков продления Договоров (полисов) страхования (оплаты очередной страховой премии (страховых взносов)</w:t>
            </w:r>
            <w:proofErr w:type="gramEnd"/>
          </w:p>
        </w:tc>
        <w:tc>
          <w:tcPr>
            <w:tcW w:w="10228" w:type="dxa"/>
            <w:gridSpan w:val="6"/>
            <w:vAlign w:val="center"/>
          </w:tcPr>
          <w:p w:rsidR="00E46AA9" w:rsidRPr="001A7100" w:rsidRDefault="00E46AA9" w:rsidP="00A85AE5">
            <w:pPr>
              <w:keepNext/>
              <w:jc w:val="center"/>
              <w:outlineLvl w:val="2"/>
              <w:rPr>
                <w:highlight w:val="yellow"/>
              </w:rPr>
            </w:pPr>
            <w:r w:rsidRPr="001A7100">
              <w:rPr>
                <w:sz w:val="22"/>
                <w:szCs w:val="22"/>
              </w:rPr>
              <w:t>10 000 рублей</w:t>
            </w:r>
            <w:r>
              <w:rPr>
                <w:sz w:val="22"/>
                <w:szCs w:val="22"/>
              </w:rPr>
              <w:t xml:space="preserve"> РФ</w:t>
            </w:r>
          </w:p>
        </w:tc>
      </w:tr>
      <w:tr w:rsidR="00160695" w:rsidRPr="001A7100" w:rsidTr="00E205AE">
        <w:trPr>
          <w:trHeight w:val="255"/>
        </w:trPr>
        <w:tc>
          <w:tcPr>
            <w:tcW w:w="720" w:type="dxa"/>
            <w:vAlign w:val="center"/>
          </w:tcPr>
          <w:p w:rsidR="00160695" w:rsidRPr="00160695" w:rsidRDefault="00160695">
            <w:pPr>
              <w:rPr>
                <w:sz w:val="22"/>
                <w:szCs w:val="22"/>
              </w:rPr>
            </w:pPr>
            <w:r>
              <w:rPr>
                <w:sz w:val="22"/>
                <w:szCs w:val="22"/>
                <w:lang w:val="en-US"/>
              </w:rPr>
              <w:t>1</w:t>
            </w:r>
            <w:r>
              <w:rPr>
                <w:sz w:val="22"/>
                <w:szCs w:val="22"/>
              </w:rPr>
              <w:t>.</w:t>
            </w:r>
            <w:r w:rsidR="004C08DD">
              <w:rPr>
                <w:sz w:val="22"/>
                <w:szCs w:val="22"/>
              </w:rPr>
              <w:t>9</w:t>
            </w:r>
          </w:p>
        </w:tc>
        <w:tc>
          <w:tcPr>
            <w:tcW w:w="4860" w:type="dxa"/>
            <w:vAlign w:val="center"/>
          </w:tcPr>
          <w:p w:rsidR="00160695" w:rsidRPr="001A7100" w:rsidRDefault="00160695">
            <w:pPr>
              <w:keepNext/>
              <w:outlineLvl w:val="2"/>
              <w:rPr>
                <w:sz w:val="22"/>
                <w:szCs w:val="22"/>
              </w:rPr>
            </w:pPr>
            <w:r>
              <w:rPr>
                <w:sz w:val="22"/>
                <w:szCs w:val="22"/>
              </w:rPr>
              <w:t>Штрафные санкции за неисполнение или ненадлежащее исполнение обязательств по возмещению Заемщиком Кредитору расходов, понесенных на оплату страхового взноса</w:t>
            </w:r>
          </w:p>
        </w:tc>
        <w:tc>
          <w:tcPr>
            <w:tcW w:w="10228" w:type="dxa"/>
            <w:gridSpan w:val="6"/>
            <w:vAlign w:val="center"/>
          </w:tcPr>
          <w:p w:rsidR="00160695" w:rsidRPr="001A7100" w:rsidRDefault="00160695" w:rsidP="00A85AE5">
            <w:pPr>
              <w:keepNext/>
              <w:jc w:val="center"/>
              <w:outlineLvl w:val="2"/>
              <w:rPr>
                <w:bCs/>
                <w:sz w:val="22"/>
                <w:szCs w:val="22"/>
              </w:rPr>
            </w:pPr>
            <w:r w:rsidRPr="00DB58F4">
              <w:rPr>
                <w:sz w:val="22"/>
                <w:szCs w:val="22"/>
              </w:rPr>
              <w:t xml:space="preserve">0,2% от </w:t>
            </w:r>
            <w:r>
              <w:rPr>
                <w:sz w:val="22"/>
                <w:szCs w:val="22"/>
              </w:rPr>
              <w:t>суммы страхового взноса</w:t>
            </w:r>
            <w:r w:rsidRPr="00DB58F4">
              <w:rPr>
                <w:sz w:val="22"/>
                <w:szCs w:val="22"/>
              </w:rPr>
              <w:t xml:space="preserve"> ежедневно</w:t>
            </w:r>
          </w:p>
        </w:tc>
      </w:tr>
      <w:tr w:rsidR="00E205AE" w:rsidRPr="001A7100" w:rsidTr="00354D2B">
        <w:trPr>
          <w:trHeight w:val="548"/>
        </w:trPr>
        <w:tc>
          <w:tcPr>
            <w:tcW w:w="15808" w:type="dxa"/>
            <w:gridSpan w:val="8"/>
            <w:vAlign w:val="center"/>
          </w:tcPr>
          <w:p w:rsidR="00522927" w:rsidRDefault="00E205AE">
            <w:pPr>
              <w:keepNext/>
              <w:outlineLvl w:val="2"/>
              <w:rPr>
                <w:bCs/>
                <w:sz w:val="22"/>
                <w:szCs w:val="22"/>
              </w:rPr>
            </w:pPr>
            <w:r>
              <w:rPr>
                <w:bCs/>
                <w:sz w:val="22"/>
                <w:szCs w:val="22"/>
              </w:rPr>
              <w:t xml:space="preserve">2. </w:t>
            </w:r>
            <w:r w:rsidRPr="00DB58F4">
              <w:rPr>
                <w:bCs/>
                <w:sz w:val="22"/>
                <w:szCs w:val="22"/>
              </w:rPr>
              <w:t>Дополнительные комиссии</w:t>
            </w:r>
            <w:r w:rsidRPr="00DB58F4">
              <w:rPr>
                <w:rStyle w:val="ac"/>
                <w:bCs/>
                <w:sz w:val="22"/>
                <w:szCs w:val="22"/>
              </w:rPr>
              <w:footnoteReference w:id="4"/>
            </w:r>
          </w:p>
        </w:tc>
      </w:tr>
      <w:tr w:rsidR="00E205AE" w:rsidRPr="001A7100" w:rsidTr="00C10B72">
        <w:trPr>
          <w:trHeight w:val="580"/>
        </w:trPr>
        <w:tc>
          <w:tcPr>
            <w:tcW w:w="720" w:type="dxa"/>
            <w:vAlign w:val="center"/>
          </w:tcPr>
          <w:p w:rsidR="00E205AE" w:rsidRPr="001A7100" w:rsidDel="00A32A92" w:rsidRDefault="00E205AE" w:rsidP="0030698E">
            <w:pPr>
              <w:rPr>
                <w:sz w:val="22"/>
                <w:szCs w:val="22"/>
              </w:rPr>
            </w:pPr>
            <w:r w:rsidRPr="00DB58F4">
              <w:rPr>
                <w:sz w:val="22"/>
                <w:szCs w:val="22"/>
              </w:rPr>
              <w:t>2.1</w:t>
            </w:r>
          </w:p>
        </w:tc>
        <w:tc>
          <w:tcPr>
            <w:tcW w:w="4860" w:type="dxa"/>
            <w:vAlign w:val="center"/>
          </w:tcPr>
          <w:p w:rsidR="00E205AE" w:rsidRPr="001A7100" w:rsidRDefault="00E205AE" w:rsidP="00072054">
            <w:pPr>
              <w:keepNext/>
              <w:outlineLvl w:val="2"/>
              <w:rPr>
                <w:sz w:val="22"/>
                <w:szCs w:val="22"/>
              </w:rPr>
            </w:pPr>
            <w:r w:rsidRPr="00DB58F4">
              <w:rPr>
                <w:sz w:val="22"/>
                <w:szCs w:val="22"/>
              </w:rPr>
              <w:t>Оформление пакета страховых услуг (ежегодно)</w:t>
            </w:r>
          </w:p>
        </w:tc>
        <w:tc>
          <w:tcPr>
            <w:tcW w:w="10228" w:type="dxa"/>
            <w:gridSpan w:val="6"/>
            <w:vAlign w:val="center"/>
          </w:tcPr>
          <w:p w:rsidR="00E205AE" w:rsidRPr="001A7100" w:rsidRDefault="00E205AE" w:rsidP="00A85AE5">
            <w:pPr>
              <w:keepNext/>
              <w:jc w:val="center"/>
              <w:outlineLvl w:val="2"/>
              <w:rPr>
                <w:bCs/>
                <w:sz w:val="22"/>
                <w:szCs w:val="22"/>
              </w:rPr>
            </w:pPr>
            <w:r w:rsidRPr="00DB58F4">
              <w:rPr>
                <w:bCs/>
                <w:sz w:val="22"/>
                <w:szCs w:val="22"/>
              </w:rPr>
              <w:t>В соответствии с тарифами страховых компаний</w:t>
            </w:r>
          </w:p>
        </w:tc>
      </w:tr>
      <w:tr w:rsidR="00E205AE" w:rsidRPr="001A7100" w:rsidTr="00E205AE">
        <w:trPr>
          <w:trHeight w:val="255"/>
        </w:trPr>
        <w:tc>
          <w:tcPr>
            <w:tcW w:w="720" w:type="dxa"/>
            <w:tcBorders>
              <w:bottom w:val="single" w:sz="4" w:space="0" w:color="auto"/>
            </w:tcBorders>
            <w:vAlign w:val="center"/>
          </w:tcPr>
          <w:p w:rsidR="00E205AE" w:rsidRPr="001A7100" w:rsidDel="00A32A92" w:rsidRDefault="00E205AE" w:rsidP="0030698E">
            <w:pPr>
              <w:rPr>
                <w:sz w:val="22"/>
                <w:szCs w:val="22"/>
              </w:rPr>
            </w:pPr>
            <w:r w:rsidRPr="00DB58F4">
              <w:rPr>
                <w:sz w:val="22"/>
                <w:szCs w:val="22"/>
              </w:rPr>
              <w:t>2.2</w:t>
            </w:r>
          </w:p>
        </w:tc>
        <w:tc>
          <w:tcPr>
            <w:tcW w:w="4860" w:type="dxa"/>
            <w:tcBorders>
              <w:bottom w:val="single" w:sz="4" w:space="0" w:color="auto"/>
            </w:tcBorders>
            <w:vAlign w:val="center"/>
          </w:tcPr>
          <w:p w:rsidR="00E205AE" w:rsidRPr="001A7100" w:rsidRDefault="00E205AE" w:rsidP="00072054">
            <w:pPr>
              <w:keepNext/>
              <w:outlineLvl w:val="2"/>
              <w:rPr>
                <w:sz w:val="22"/>
                <w:szCs w:val="22"/>
              </w:rPr>
            </w:pPr>
            <w:r w:rsidRPr="00DB58F4">
              <w:rPr>
                <w:sz w:val="22"/>
                <w:szCs w:val="22"/>
              </w:rPr>
              <w:t>Оценка недвижимости лицензированным оценщиком</w:t>
            </w:r>
          </w:p>
        </w:tc>
        <w:tc>
          <w:tcPr>
            <w:tcW w:w="10228" w:type="dxa"/>
            <w:gridSpan w:val="6"/>
            <w:tcBorders>
              <w:bottom w:val="single" w:sz="4" w:space="0" w:color="auto"/>
            </w:tcBorders>
            <w:vAlign w:val="center"/>
          </w:tcPr>
          <w:p w:rsidR="00E205AE" w:rsidRPr="001A7100" w:rsidRDefault="00E205AE" w:rsidP="00A85AE5">
            <w:pPr>
              <w:keepNext/>
              <w:jc w:val="center"/>
              <w:outlineLvl w:val="2"/>
              <w:rPr>
                <w:bCs/>
                <w:sz w:val="22"/>
                <w:szCs w:val="22"/>
              </w:rPr>
            </w:pPr>
            <w:r w:rsidRPr="00DB58F4">
              <w:rPr>
                <w:bCs/>
                <w:sz w:val="22"/>
                <w:szCs w:val="22"/>
              </w:rPr>
              <w:t>В соответствии с тарифами организации-оценщика</w:t>
            </w:r>
          </w:p>
        </w:tc>
      </w:tr>
    </w:tbl>
    <w:p w:rsidR="00DB229B" w:rsidRPr="001A7100" w:rsidRDefault="00DB229B" w:rsidP="009C0F7E"/>
    <w:sectPr w:rsidR="00DB229B" w:rsidRPr="001A7100" w:rsidSect="009C0F7E">
      <w:pgSz w:w="16838" w:h="11906" w:orient="landscape"/>
      <w:pgMar w:top="36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6A" w:rsidRDefault="0060356A" w:rsidP="004E2EFA">
      <w:r>
        <w:separator/>
      </w:r>
    </w:p>
  </w:endnote>
  <w:endnote w:type="continuationSeparator" w:id="0">
    <w:p w:rsidR="0060356A" w:rsidRDefault="0060356A" w:rsidP="004E2E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6A" w:rsidRDefault="0060356A" w:rsidP="004E2EFA">
      <w:r>
        <w:separator/>
      </w:r>
    </w:p>
  </w:footnote>
  <w:footnote w:type="continuationSeparator" w:id="0">
    <w:p w:rsidR="0060356A" w:rsidRDefault="0060356A" w:rsidP="004E2EFA">
      <w:r>
        <w:continuationSeparator/>
      </w:r>
    </w:p>
  </w:footnote>
  <w:footnote w:id="1">
    <w:p w:rsidR="004E2EFA" w:rsidRDefault="004E2EFA">
      <w:pPr>
        <w:pStyle w:val="aa"/>
      </w:pPr>
      <w:r>
        <w:rPr>
          <w:rStyle w:val="ac"/>
        </w:rPr>
        <w:footnoteRef/>
      </w:r>
      <w:r>
        <w:t xml:space="preserve"> Максимальная сумма кредита для каждого Заемщика/ Созаемщиков определяется на </w:t>
      </w:r>
      <w:proofErr w:type="gramStart"/>
      <w:r>
        <w:t>основании</w:t>
      </w:r>
      <w:proofErr w:type="gramEnd"/>
      <w:r>
        <w:t xml:space="preserve"> его (их) платежеспособности.</w:t>
      </w:r>
    </w:p>
  </w:footnote>
  <w:footnote w:id="2">
    <w:p w:rsidR="00775AA8" w:rsidRPr="00A71983" w:rsidRDefault="00775AA8">
      <w:pPr>
        <w:pStyle w:val="aa"/>
      </w:pPr>
      <w:r>
        <w:rPr>
          <w:rStyle w:val="ac"/>
        </w:rPr>
        <w:footnoteRef/>
      </w:r>
      <w:r>
        <w:t xml:space="preserve"> Стоимость приобретаемой недвижимости определяется как наименьшая из двух стоимостей объекта недвижимости: стоимость, определенная продавцом объекта недвижимости, и оценочная стоимость объекта недвижимости.</w:t>
      </w:r>
      <w:r w:rsidR="00844185" w:rsidRPr="00844185">
        <w:t xml:space="preserve"> </w:t>
      </w:r>
      <w:r w:rsidR="00A71983">
        <w:t>Первоначальный взнос определяется как разница между стоимостью приобретаемой недвижимости и размером кредита.</w:t>
      </w:r>
    </w:p>
  </w:footnote>
  <w:footnote w:id="3">
    <w:p w:rsidR="000F332D" w:rsidRPr="00707678" w:rsidRDefault="000F332D">
      <w:pPr>
        <w:pStyle w:val="aa"/>
      </w:pPr>
      <w:r w:rsidRPr="00707678">
        <w:rPr>
          <w:rStyle w:val="ac"/>
        </w:rPr>
        <w:footnoteRef/>
      </w:r>
      <w:r w:rsidRPr="00707678">
        <w:t xml:space="preserve"> К категории клиентов </w:t>
      </w:r>
      <w:r w:rsidR="0053096D">
        <w:t>ОАО «МТС-БАНК»</w:t>
      </w:r>
      <w:r w:rsidRPr="00707678">
        <w:t xml:space="preserve">, параметры кредитования которых не соответствуют </w:t>
      </w:r>
      <w:r w:rsidRPr="00707678">
        <w:rPr>
          <w:bCs/>
          <w:iCs/>
        </w:rPr>
        <w:t xml:space="preserve">требованиям </w:t>
      </w:r>
      <w:r w:rsidR="0053096D">
        <w:rPr>
          <w:bCs/>
          <w:iCs/>
        </w:rPr>
        <w:t>ОАО «МТС-БАНК»</w:t>
      </w:r>
      <w:r>
        <w:t xml:space="preserve">, могут относиться только </w:t>
      </w:r>
      <w:r w:rsidR="007940D8">
        <w:t>физические лица</w:t>
      </w:r>
      <w:r w:rsidRPr="00707678">
        <w:t xml:space="preserve">, получающие второй ипотечный кредит, если первый кредит был получен указанными физическими лицами в </w:t>
      </w:r>
      <w:r w:rsidR="0053096D">
        <w:t>ОАО «МТС-БАНК»</w:t>
      </w:r>
      <w:r w:rsidRPr="00707678">
        <w:t xml:space="preserve"> по программам «Промежуточный. Жилье» или «</w:t>
      </w:r>
      <w:proofErr w:type="gramStart"/>
      <w:r w:rsidRPr="00707678">
        <w:t>Промежуточный</w:t>
      </w:r>
      <w:proofErr w:type="gramEnd"/>
      <w:r w:rsidRPr="00707678">
        <w:t>. Жилье.</w:t>
      </w:r>
      <w:r>
        <w:t xml:space="preserve"> </w:t>
      </w:r>
      <w:r w:rsidRPr="00707678">
        <w:t>RU»</w:t>
      </w:r>
      <w:r>
        <w:t>.</w:t>
      </w:r>
    </w:p>
  </w:footnote>
  <w:footnote w:id="4">
    <w:p w:rsidR="00E205AE" w:rsidRDefault="00E205AE" w:rsidP="00E205AE">
      <w:pPr>
        <w:pStyle w:val="aa"/>
      </w:pPr>
      <w:r>
        <w:rPr>
          <w:rStyle w:val="ac"/>
        </w:rPr>
        <w:footnoteRef/>
      </w:r>
      <w:r>
        <w:t xml:space="preserve"> Комиссии, уплачиваемые Заемщиком/ Созаемщиками сторонним организациям.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77995"/>
    <w:multiLevelType w:val="hybridMultilevel"/>
    <w:tmpl w:val="57B633B6"/>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hint="default"/>
      </w:rPr>
    </w:lvl>
    <w:lvl w:ilvl="8" w:tplc="04190005" w:tentative="1">
      <w:start w:val="1"/>
      <w:numFmt w:val="bullet"/>
      <w:lvlText w:val=""/>
      <w:lvlJc w:val="left"/>
      <w:pPr>
        <w:ind w:left="67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characterSpacingControl w:val="doNotCompress"/>
  <w:footnotePr>
    <w:footnote w:id="-1"/>
    <w:footnote w:id="0"/>
  </w:footnotePr>
  <w:endnotePr>
    <w:endnote w:id="-1"/>
    <w:endnote w:id="0"/>
  </w:endnotePr>
  <w:compat/>
  <w:rsids>
    <w:rsidRoot w:val="00DA099A"/>
    <w:rsid w:val="000023E2"/>
    <w:rsid w:val="00012B04"/>
    <w:rsid w:val="00030257"/>
    <w:rsid w:val="00034AAE"/>
    <w:rsid w:val="00037713"/>
    <w:rsid w:val="000543C9"/>
    <w:rsid w:val="00064F71"/>
    <w:rsid w:val="00067311"/>
    <w:rsid w:val="00072054"/>
    <w:rsid w:val="0008006C"/>
    <w:rsid w:val="00087FCF"/>
    <w:rsid w:val="000A0354"/>
    <w:rsid w:val="000A6579"/>
    <w:rsid w:val="000B7832"/>
    <w:rsid w:val="000B7D33"/>
    <w:rsid w:val="000C36AA"/>
    <w:rsid w:val="000D1D11"/>
    <w:rsid w:val="000F0309"/>
    <w:rsid w:val="000F2639"/>
    <w:rsid w:val="000F332D"/>
    <w:rsid w:val="001040A2"/>
    <w:rsid w:val="00127CA9"/>
    <w:rsid w:val="00130964"/>
    <w:rsid w:val="00134575"/>
    <w:rsid w:val="00136223"/>
    <w:rsid w:val="00137D68"/>
    <w:rsid w:val="00143B15"/>
    <w:rsid w:val="00160695"/>
    <w:rsid w:val="001723EF"/>
    <w:rsid w:val="00177CF6"/>
    <w:rsid w:val="00182C61"/>
    <w:rsid w:val="001858F7"/>
    <w:rsid w:val="00193F59"/>
    <w:rsid w:val="001A7100"/>
    <w:rsid w:val="001B3CE8"/>
    <w:rsid w:val="001B3E49"/>
    <w:rsid w:val="001D4627"/>
    <w:rsid w:val="001D79C8"/>
    <w:rsid w:val="001F1736"/>
    <w:rsid w:val="001F5D3A"/>
    <w:rsid w:val="00231128"/>
    <w:rsid w:val="0023348B"/>
    <w:rsid w:val="002652D5"/>
    <w:rsid w:val="0026753B"/>
    <w:rsid w:val="0027316F"/>
    <w:rsid w:val="002750B5"/>
    <w:rsid w:val="00276BE3"/>
    <w:rsid w:val="002929F9"/>
    <w:rsid w:val="00296404"/>
    <w:rsid w:val="002B30DB"/>
    <w:rsid w:val="002C1528"/>
    <w:rsid w:val="002D21D2"/>
    <w:rsid w:val="002D5406"/>
    <w:rsid w:val="002F1375"/>
    <w:rsid w:val="00303CB7"/>
    <w:rsid w:val="003064ED"/>
    <w:rsid w:val="0030698E"/>
    <w:rsid w:val="00306BC5"/>
    <w:rsid w:val="00310DA7"/>
    <w:rsid w:val="00323597"/>
    <w:rsid w:val="00325F82"/>
    <w:rsid w:val="0033295A"/>
    <w:rsid w:val="0035010A"/>
    <w:rsid w:val="00352561"/>
    <w:rsid w:val="003545D8"/>
    <w:rsid w:val="00354D2B"/>
    <w:rsid w:val="00367D95"/>
    <w:rsid w:val="00391455"/>
    <w:rsid w:val="00393165"/>
    <w:rsid w:val="00396475"/>
    <w:rsid w:val="003A119C"/>
    <w:rsid w:val="003B0A93"/>
    <w:rsid w:val="003B1B70"/>
    <w:rsid w:val="003B40D7"/>
    <w:rsid w:val="003D0079"/>
    <w:rsid w:val="003D197D"/>
    <w:rsid w:val="003E1211"/>
    <w:rsid w:val="003F18ED"/>
    <w:rsid w:val="003F1A78"/>
    <w:rsid w:val="0040117C"/>
    <w:rsid w:val="00404E38"/>
    <w:rsid w:val="00417DF0"/>
    <w:rsid w:val="00433264"/>
    <w:rsid w:val="00436FFE"/>
    <w:rsid w:val="00446671"/>
    <w:rsid w:val="00450400"/>
    <w:rsid w:val="004510B2"/>
    <w:rsid w:val="004536B9"/>
    <w:rsid w:val="00455AEE"/>
    <w:rsid w:val="00457C0D"/>
    <w:rsid w:val="00474BE0"/>
    <w:rsid w:val="004816D7"/>
    <w:rsid w:val="004877E6"/>
    <w:rsid w:val="00497DF7"/>
    <w:rsid w:val="004A0845"/>
    <w:rsid w:val="004A4939"/>
    <w:rsid w:val="004B44B1"/>
    <w:rsid w:val="004B7277"/>
    <w:rsid w:val="004C08DD"/>
    <w:rsid w:val="004C1024"/>
    <w:rsid w:val="004C7B50"/>
    <w:rsid w:val="004E09B8"/>
    <w:rsid w:val="004E2EFA"/>
    <w:rsid w:val="004E3275"/>
    <w:rsid w:val="00501D2E"/>
    <w:rsid w:val="00514C0E"/>
    <w:rsid w:val="00522782"/>
    <w:rsid w:val="00522927"/>
    <w:rsid w:val="005261B4"/>
    <w:rsid w:val="00527877"/>
    <w:rsid w:val="0053096D"/>
    <w:rsid w:val="005401A3"/>
    <w:rsid w:val="0055073B"/>
    <w:rsid w:val="00555720"/>
    <w:rsid w:val="00564285"/>
    <w:rsid w:val="00587B87"/>
    <w:rsid w:val="00590477"/>
    <w:rsid w:val="005A33BA"/>
    <w:rsid w:val="005A6562"/>
    <w:rsid w:val="005D759B"/>
    <w:rsid w:val="005E1B81"/>
    <w:rsid w:val="005F12E0"/>
    <w:rsid w:val="00601629"/>
    <w:rsid w:val="0060356A"/>
    <w:rsid w:val="006077B0"/>
    <w:rsid w:val="0062055F"/>
    <w:rsid w:val="006247E0"/>
    <w:rsid w:val="006314A8"/>
    <w:rsid w:val="00634144"/>
    <w:rsid w:val="006405A6"/>
    <w:rsid w:val="00643F68"/>
    <w:rsid w:val="00667E44"/>
    <w:rsid w:val="00670FBC"/>
    <w:rsid w:val="00696B05"/>
    <w:rsid w:val="006A3516"/>
    <w:rsid w:val="006A352A"/>
    <w:rsid w:val="006A3FAD"/>
    <w:rsid w:val="006A70B6"/>
    <w:rsid w:val="006B054F"/>
    <w:rsid w:val="006E5737"/>
    <w:rsid w:val="006F7DD5"/>
    <w:rsid w:val="00707678"/>
    <w:rsid w:val="00710EC9"/>
    <w:rsid w:val="007232BA"/>
    <w:rsid w:val="007306B4"/>
    <w:rsid w:val="00737244"/>
    <w:rsid w:val="00740A44"/>
    <w:rsid w:val="00753C58"/>
    <w:rsid w:val="007736B7"/>
    <w:rsid w:val="00775AA8"/>
    <w:rsid w:val="007766A4"/>
    <w:rsid w:val="007940D8"/>
    <w:rsid w:val="00795DC5"/>
    <w:rsid w:val="007A27A2"/>
    <w:rsid w:val="007A6A12"/>
    <w:rsid w:val="007A6B01"/>
    <w:rsid w:val="007B2994"/>
    <w:rsid w:val="007B6038"/>
    <w:rsid w:val="007C081D"/>
    <w:rsid w:val="007C1AD6"/>
    <w:rsid w:val="007C2526"/>
    <w:rsid w:val="007D79F8"/>
    <w:rsid w:val="007E3EAE"/>
    <w:rsid w:val="007E670C"/>
    <w:rsid w:val="007E71CF"/>
    <w:rsid w:val="007F1764"/>
    <w:rsid w:val="007F2447"/>
    <w:rsid w:val="007F6E15"/>
    <w:rsid w:val="00804082"/>
    <w:rsid w:val="008179DC"/>
    <w:rsid w:val="00822862"/>
    <w:rsid w:val="00833F11"/>
    <w:rsid w:val="00844185"/>
    <w:rsid w:val="0084418C"/>
    <w:rsid w:val="00852C3C"/>
    <w:rsid w:val="008660FC"/>
    <w:rsid w:val="00873683"/>
    <w:rsid w:val="00876919"/>
    <w:rsid w:val="00885B1F"/>
    <w:rsid w:val="00890FDD"/>
    <w:rsid w:val="008B06BC"/>
    <w:rsid w:val="008C7CEA"/>
    <w:rsid w:val="008D00C5"/>
    <w:rsid w:val="008D0D8E"/>
    <w:rsid w:val="008D56AA"/>
    <w:rsid w:val="008E09BA"/>
    <w:rsid w:val="008E4506"/>
    <w:rsid w:val="008E5A3F"/>
    <w:rsid w:val="00916464"/>
    <w:rsid w:val="009406EB"/>
    <w:rsid w:val="00942106"/>
    <w:rsid w:val="00951FFD"/>
    <w:rsid w:val="0096476D"/>
    <w:rsid w:val="009739F0"/>
    <w:rsid w:val="00973CE1"/>
    <w:rsid w:val="00980303"/>
    <w:rsid w:val="009B733F"/>
    <w:rsid w:val="009C0F7E"/>
    <w:rsid w:val="009D0E55"/>
    <w:rsid w:val="009D1C04"/>
    <w:rsid w:val="009E1228"/>
    <w:rsid w:val="00A05F67"/>
    <w:rsid w:val="00A0636C"/>
    <w:rsid w:val="00A1156B"/>
    <w:rsid w:val="00A31AD9"/>
    <w:rsid w:val="00A32A92"/>
    <w:rsid w:val="00A41DDE"/>
    <w:rsid w:val="00A55BF6"/>
    <w:rsid w:val="00A67F4B"/>
    <w:rsid w:val="00A713F6"/>
    <w:rsid w:val="00A71983"/>
    <w:rsid w:val="00A85AE5"/>
    <w:rsid w:val="00AA32F9"/>
    <w:rsid w:val="00AB6A0B"/>
    <w:rsid w:val="00AB70C0"/>
    <w:rsid w:val="00AC4E52"/>
    <w:rsid w:val="00B0320A"/>
    <w:rsid w:val="00B05147"/>
    <w:rsid w:val="00B119B8"/>
    <w:rsid w:val="00B20C0D"/>
    <w:rsid w:val="00B3561B"/>
    <w:rsid w:val="00B40BC2"/>
    <w:rsid w:val="00B43B8B"/>
    <w:rsid w:val="00B5243A"/>
    <w:rsid w:val="00B540AC"/>
    <w:rsid w:val="00B5628B"/>
    <w:rsid w:val="00B67F30"/>
    <w:rsid w:val="00B7024F"/>
    <w:rsid w:val="00B81C3A"/>
    <w:rsid w:val="00B85DF1"/>
    <w:rsid w:val="00B86FE9"/>
    <w:rsid w:val="00BA1437"/>
    <w:rsid w:val="00BC29B4"/>
    <w:rsid w:val="00BC301B"/>
    <w:rsid w:val="00BC35A8"/>
    <w:rsid w:val="00BD341A"/>
    <w:rsid w:val="00BE022C"/>
    <w:rsid w:val="00BE4E72"/>
    <w:rsid w:val="00BF2AA7"/>
    <w:rsid w:val="00BF3F20"/>
    <w:rsid w:val="00C07630"/>
    <w:rsid w:val="00C10B72"/>
    <w:rsid w:val="00C146EE"/>
    <w:rsid w:val="00C179B0"/>
    <w:rsid w:val="00C203F4"/>
    <w:rsid w:val="00C31270"/>
    <w:rsid w:val="00C329C0"/>
    <w:rsid w:val="00C369E1"/>
    <w:rsid w:val="00C5448E"/>
    <w:rsid w:val="00C55206"/>
    <w:rsid w:val="00C563F3"/>
    <w:rsid w:val="00C818ED"/>
    <w:rsid w:val="00C91FA7"/>
    <w:rsid w:val="00CA523E"/>
    <w:rsid w:val="00CB5FD8"/>
    <w:rsid w:val="00CC10C1"/>
    <w:rsid w:val="00CC1B56"/>
    <w:rsid w:val="00CC5F14"/>
    <w:rsid w:val="00CE74BF"/>
    <w:rsid w:val="00CF0EB5"/>
    <w:rsid w:val="00CF53ED"/>
    <w:rsid w:val="00D06B4B"/>
    <w:rsid w:val="00D2158B"/>
    <w:rsid w:val="00D23984"/>
    <w:rsid w:val="00D30477"/>
    <w:rsid w:val="00D35AE4"/>
    <w:rsid w:val="00D505FF"/>
    <w:rsid w:val="00D50BE2"/>
    <w:rsid w:val="00D531A1"/>
    <w:rsid w:val="00D54850"/>
    <w:rsid w:val="00D60FA5"/>
    <w:rsid w:val="00D64E9B"/>
    <w:rsid w:val="00D7186C"/>
    <w:rsid w:val="00D75887"/>
    <w:rsid w:val="00D91185"/>
    <w:rsid w:val="00D93D9F"/>
    <w:rsid w:val="00D96482"/>
    <w:rsid w:val="00D96DA9"/>
    <w:rsid w:val="00DA099A"/>
    <w:rsid w:val="00DA1FC4"/>
    <w:rsid w:val="00DA5FCF"/>
    <w:rsid w:val="00DB1E84"/>
    <w:rsid w:val="00DB229B"/>
    <w:rsid w:val="00DB246D"/>
    <w:rsid w:val="00DB24A2"/>
    <w:rsid w:val="00DB4710"/>
    <w:rsid w:val="00DC27E3"/>
    <w:rsid w:val="00DC38E2"/>
    <w:rsid w:val="00DC735E"/>
    <w:rsid w:val="00DC7864"/>
    <w:rsid w:val="00DD509F"/>
    <w:rsid w:val="00DD5B34"/>
    <w:rsid w:val="00DE3F28"/>
    <w:rsid w:val="00DF0A12"/>
    <w:rsid w:val="00DF1A33"/>
    <w:rsid w:val="00E0608C"/>
    <w:rsid w:val="00E17898"/>
    <w:rsid w:val="00E205AE"/>
    <w:rsid w:val="00E23C9E"/>
    <w:rsid w:val="00E3107C"/>
    <w:rsid w:val="00E3129A"/>
    <w:rsid w:val="00E315CF"/>
    <w:rsid w:val="00E3242E"/>
    <w:rsid w:val="00E46AA9"/>
    <w:rsid w:val="00E5698E"/>
    <w:rsid w:val="00E724D3"/>
    <w:rsid w:val="00E72FA4"/>
    <w:rsid w:val="00E86B76"/>
    <w:rsid w:val="00E97422"/>
    <w:rsid w:val="00EA3DCA"/>
    <w:rsid w:val="00EA62DA"/>
    <w:rsid w:val="00EB3113"/>
    <w:rsid w:val="00EC5929"/>
    <w:rsid w:val="00ED0A6A"/>
    <w:rsid w:val="00EE1090"/>
    <w:rsid w:val="00EF04F7"/>
    <w:rsid w:val="00EF0EBC"/>
    <w:rsid w:val="00EF393D"/>
    <w:rsid w:val="00F315A5"/>
    <w:rsid w:val="00F43DB2"/>
    <w:rsid w:val="00F44FF0"/>
    <w:rsid w:val="00F46894"/>
    <w:rsid w:val="00F4758F"/>
    <w:rsid w:val="00F52B9B"/>
    <w:rsid w:val="00F72E1E"/>
    <w:rsid w:val="00F735BE"/>
    <w:rsid w:val="00F7527E"/>
    <w:rsid w:val="00F81FD5"/>
    <w:rsid w:val="00F8562A"/>
    <w:rsid w:val="00F97524"/>
    <w:rsid w:val="00FB03D7"/>
    <w:rsid w:val="00FC1C0A"/>
    <w:rsid w:val="00FC4F1C"/>
    <w:rsid w:val="00FC7F64"/>
    <w:rsid w:val="00FD0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45D8"/>
    <w:rPr>
      <w:rFonts w:ascii="Tahoma" w:hAnsi="Tahoma" w:cs="Tahoma"/>
      <w:sz w:val="16"/>
      <w:szCs w:val="16"/>
    </w:rPr>
  </w:style>
  <w:style w:type="character" w:customStyle="1" w:styleId="a4">
    <w:name w:val="Текст выноски Знак"/>
    <w:basedOn w:val="a0"/>
    <w:link w:val="a3"/>
    <w:uiPriority w:val="99"/>
    <w:semiHidden/>
    <w:locked/>
    <w:rsid w:val="003545D8"/>
    <w:rPr>
      <w:rFonts w:ascii="Tahoma" w:hAnsi="Tahoma" w:cs="Tahoma"/>
      <w:sz w:val="16"/>
      <w:szCs w:val="16"/>
    </w:rPr>
  </w:style>
  <w:style w:type="character" w:styleId="a5">
    <w:name w:val="annotation reference"/>
    <w:basedOn w:val="a0"/>
    <w:uiPriority w:val="99"/>
    <w:semiHidden/>
    <w:rsid w:val="003545D8"/>
    <w:rPr>
      <w:rFonts w:cs="Times New Roman"/>
      <w:sz w:val="16"/>
      <w:szCs w:val="16"/>
    </w:rPr>
  </w:style>
  <w:style w:type="paragraph" w:styleId="a6">
    <w:name w:val="annotation text"/>
    <w:basedOn w:val="a"/>
    <w:link w:val="a7"/>
    <w:uiPriority w:val="99"/>
    <w:semiHidden/>
    <w:rsid w:val="003545D8"/>
    <w:rPr>
      <w:sz w:val="20"/>
      <w:szCs w:val="20"/>
    </w:rPr>
  </w:style>
  <w:style w:type="character" w:customStyle="1" w:styleId="a7">
    <w:name w:val="Текст примечания Знак"/>
    <w:basedOn w:val="a0"/>
    <w:link w:val="a6"/>
    <w:uiPriority w:val="99"/>
    <w:semiHidden/>
    <w:locked/>
    <w:rsid w:val="003545D8"/>
    <w:rPr>
      <w:rFonts w:cs="Times New Roman"/>
      <w:sz w:val="20"/>
      <w:szCs w:val="20"/>
    </w:rPr>
  </w:style>
  <w:style w:type="paragraph" w:styleId="a8">
    <w:name w:val="annotation subject"/>
    <w:basedOn w:val="a6"/>
    <w:next w:val="a6"/>
    <w:link w:val="a9"/>
    <w:uiPriority w:val="99"/>
    <w:semiHidden/>
    <w:rsid w:val="003545D8"/>
    <w:rPr>
      <w:b/>
      <w:bCs/>
    </w:rPr>
  </w:style>
  <w:style w:type="character" w:customStyle="1" w:styleId="a9">
    <w:name w:val="Тема примечания Знак"/>
    <w:basedOn w:val="a7"/>
    <w:link w:val="a8"/>
    <w:uiPriority w:val="99"/>
    <w:semiHidden/>
    <w:locked/>
    <w:rsid w:val="003545D8"/>
    <w:rPr>
      <w:rFonts w:cs="Times New Roman"/>
      <w:b/>
      <w:bCs/>
      <w:sz w:val="20"/>
      <w:szCs w:val="20"/>
    </w:rPr>
  </w:style>
  <w:style w:type="character" w:customStyle="1" w:styleId="EmailStyle221">
    <w:name w:val="EmailStyle221"/>
    <w:basedOn w:val="a0"/>
    <w:uiPriority w:val="99"/>
    <w:semiHidden/>
    <w:rsid w:val="001A7100"/>
    <w:rPr>
      <w:rFonts w:ascii="Times New Roman" w:hAnsi="Times New Roman" w:cs="Arial"/>
      <w:color w:val="auto"/>
      <w:sz w:val="20"/>
      <w:szCs w:val="20"/>
    </w:rPr>
  </w:style>
  <w:style w:type="paragraph" w:styleId="aa">
    <w:name w:val="footnote text"/>
    <w:basedOn w:val="a"/>
    <w:link w:val="ab"/>
    <w:uiPriority w:val="99"/>
    <w:semiHidden/>
    <w:unhideWhenUsed/>
    <w:rsid w:val="004E2EFA"/>
    <w:rPr>
      <w:sz w:val="20"/>
      <w:szCs w:val="20"/>
    </w:rPr>
  </w:style>
  <w:style w:type="character" w:customStyle="1" w:styleId="ab">
    <w:name w:val="Текст сноски Знак"/>
    <w:basedOn w:val="a0"/>
    <w:link w:val="aa"/>
    <w:uiPriority w:val="99"/>
    <w:semiHidden/>
    <w:rsid w:val="004E2EFA"/>
  </w:style>
  <w:style w:type="character" w:styleId="ac">
    <w:name w:val="footnote reference"/>
    <w:basedOn w:val="a0"/>
    <w:uiPriority w:val="99"/>
    <w:semiHidden/>
    <w:unhideWhenUsed/>
    <w:rsid w:val="004E2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22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DB29873CB3D34F904AD658EE79375F" ma:contentTypeVersion="27" ma:contentTypeDescription="Создание документа." ma:contentTypeScope="" ma:versionID="be3aec5dbb49cc4116d5ad6dd01fb802">
  <xsd:schema xmlns:xsd="http://www.w3.org/2001/XMLSchema" xmlns:xs="http://www.w3.org/2001/XMLSchema" xmlns:p="http://schemas.microsoft.com/office/2006/metadata/properties" xmlns:ns2="b60ba9ec-6afa-41d0-aa22-c3d3efe3edff" targetNamespace="http://schemas.microsoft.com/office/2006/metadata/properties" ma:root="true" ma:fieldsID="1cab351b6145f6ff6714e0135e63cd28" ns2:_="">
    <xsd:import namespace="b60ba9ec-6afa-41d0-aa22-c3d3efe3edff"/>
    <xsd:element name="properties">
      <xsd:complexType>
        <xsd:sequence>
          <xsd:element name="documentManagement">
            <xsd:complexType>
              <xsd:all>
                <xsd:element ref="ns2:_x0422__x0438__x043f__x0020__x043f__x043e__x043b__x044c__x0437__x043e__x0432__x0430__x0442__x0435__x043b__x044f_" minOccurs="0"/>
                <xsd:element ref="ns2:_x041f__x0440__x043e__x0434__x0443__x043a__x0442_" minOccurs="0"/>
                <xsd:element ref="ns2:_x041a__x0430__x0442__x0435__x0433__x043e__x0440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a9ec-6afa-41d0-aa22-c3d3efe3edff" elementFormDefault="qualified">
    <xsd:import namespace="http://schemas.microsoft.com/office/2006/documentManagement/types"/>
    <xsd:import namespace="http://schemas.microsoft.com/office/infopath/2007/PartnerControls"/>
    <xsd:element name="_x0422__x0438__x043f__x0020__x043f__x043e__x043b__x044c__x0437__x043e__x0432__x0430__x0442__x0435__x043b__x044f_" ma:index="2" nillable="true" ma:displayName="Рабочий портфель" ma:internalName="_x0422__x0438__x043f__x0020__x043f__x043e__x043b__x044c__x0437__x043e__x0432__x0430__x0442__x0435__x043b__x044f_">
      <xsd:complexType>
        <xsd:complexContent>
          <xsd:extension base="dms:MultiChoice">
            <xsd:sequence>
              <xsd:element name="Value" maxOccurs="unbounded" minOccurs="0" nillable="true">
                <xsd:simpleType>
                  <xsd:restriction base="dms:Choice">
                    <xsd:enumeration value="Менеджер-консультант"/>
                    <xsd:enumeration value="Операционист"/>
                    <xsd:enumeration value="Сотрудник отдела ипотечного кредитования"/>
                    <xsd:enumeration value="Сотрудник отдела продаж розничных продуктов"/>
                    <xsd:enumeration value="Сотрудник Информационного центра"/>
                    <xsd:enumeration value="Сотрудник Малого бизнеса"/>
                    <xsd:enumeration value="Сотрудник Отдела мониторинга розничного портфеля"/>
                    <xsd:enumeration value="Стандарты обслуживания"/>
                  </xsd:restriction>
                </xsd:simpleType>
              </xsd:element>
            </xsd:sequence>
          </xsd:extension>
        </xsd:complexContent>
      </xsd:complexType>
    </xsd:element>
    <xsd:element name="_x041f__x0440__x043e__x0434__x0443__x043a__x0442_" ma:index="3" nillable="true" ma:displayName="Продукт" ma:format="Dropdown" ma:internalName="_x041f__x0440__x043e__x0434__x0443__x043a__x0442_">
      <xsd:simpleType>
        <xsd:restriction base="dms:Choice">
          <xsd:enumeration value="Автокредиты"/>
          <xsd:enumeration value="Акции"/>
          <xsd:enumeration value="Виртуальная карта"/>
          <xsd:enumeration value="Дебетовые карты"/>
          <xsd:enumeration value="Дистанционные услуги"/>
          <xsd:enumeration value="Зарплатные проекты"/>
          <xsd:enumeration value="Инвестиционные услуги"/>
          <xsd:enumeration value="Ипотека"/>
          <xsd:enumeration value="Кредитные карты"/>
          <xsd:enumeration value="Критерии оценки клиента"/>
          <xsd:enumeration value="Малый бизнес: кредиты и РКО"/>
          <xsd:enumeration value="Нецелевой потребительский кредит"/>
          <xsd:enumeration value="Общие документы"/>
          <xsd:enumeration value="Памятки"/>
          <xsd:enumeration value="Краткие памятки и инструкции по операциям"/>
          <xsd:enumeration value="Перекредитование"/>
          <xsd:enumeration value="Платежи и переводы"/>
          <xsd:enumeration value="Подарочная карта"/>
          <xsd:enumeration value="ПТС"/>
          <xsd:enumeration value="Работа в системе Клиент Банк"/>
          <xsd:enumeration value="Реструктуризация"/>
          <xsd:enumeration value="РКО физических лиц"/>
          <xsd:enumeration value="РКО физических/юридических лиц"/>
          <xsd:enumeration value="РКО юридических лиц"/>
          <xsd:enumeration value="Сейфовые ячейки"/>
          <xsd:enumeration value="Система мотивации"/>
          <xsd:enumeration value="Специальный банковский счет"/>
          <xsd:enumeration value="Срочные вклады"/>
          <xsd:enumeration value="Целевой потребительский кредит"/>
          <xsd:enumeration value="Эквайринг"/>
          <xsd:enumeration value="Экспресс-кредит &quot;Формула скорости&quot;"/>
          <xsd:enumeration value="Топливная карта"/>
          <xsd:enumeration value="Студенческая карта"/>
          <xsd:enumeration value="Архивные кредитные карты"/>
          <xsd:enumeration value="Коробочное страхование"/>
          <xsd:enumeration value="VIP"/>
          <xsd:enumeration value="Акции"/>
          <xsd:enumeration value="Порядок обслуживания клиентов"/>
          <xsd:enumeration value="Оформление офисов"/>
          <xsd:enumeration value="Полиграфия для офисов"/>
          <xsd:enumeration value="Порядок оценки качества обслуживания"/>
          <xsd:enumeration value="Результаты исследования Тайный покупатель"/>
        </xsd:restriction>
      </xsd:simpleType>
    </xsd:element>
    <xsd:element name="_x041a__x0430__x0442__x0435__x0433__x043e__x0440__x0438__x044f_" ma:index="4" nillable="true" ma:displayName="Категория" ma:format="Dropdown" ma:internalName="_x041a__x0430__x0442__x0435__x0433__x043e__x0440__x0438__x044f_">
      <xsd:simpleType>
        <xsd:restriction base="dms:Choice">
          <xsd:enumeration value="Pay Pass"/>
          <xsd:enumeration value="POS_Без переплаты"/>
          <xsd:enumeration value="POS_Классический"/>
          <xsd:enumeration value="POS_С льготным периодом"/>
          <xsd:enumeration value="SMS-Банк-Инфо"/>
          <xsd:enumeration value="Автоплатеж"/>
          <xsd:enumeration value="Агентский договор"/>
          <xsd:enumeration value="Аккредитация партнеров"/>
          <xsd:enumeration value="Акции"/>
          <xsd:enumeration value="Альтернатива.RU"/>
          <xsd:enumeration value="Архив"/>
          <xsd:enumeration value="Валютные переводы без открытия счета"/>
          <xsd:enumeration value="Валютные переводы со счета"/>
          <xsd:enumeration value="Вклад &quot;Инвестиционный&quot;"/>
          <xsd:enumeration value="Вклад &quot;Снежный процент&quot;"/>
          <xsd:enumeration value="Выдача ПТС"/>
          <xsd:enumeration value="Документы для Клиента"/>
          <xsd:enumeration value="Жилье на вторичном рынке СТАНДАРТ.RU"/>
          <xsd:enumeration value="Жилье на вторичном рынке.RU"/>
          <xsd:enumeration value="Загородный дом"/>
          <xsd:enumeration value="Интернет-банкинг"/>
          <xsd:enumeration value="Калькуляторы"/>
          <xsd:enumeration value="Кампания. Cтавка ниже - цели ближе"/>
          <xsd:enumeration value="Квартира в новостройке"/>
          <xsd:enumeration value="Квартира в новостройке. Единая ставка"/>
          <xsd:enumeration value="Квартира на вторичном рынке"/>
          <xsd:enumeration value="Коммерческая ипотека"/>
          <xsd:enumeration value="Кредитные продукты и тарифы"/>
          <xsd:enumeration value="Мобильный Банкинг"/>
          <xsd:enumeration value="Мониторинг портфеля"/>
          <xsd:enumeration value="На любые цели"/>
          <xsd:enumeration value="Новостройка.RU"/>
          <xsd:enumeration value="Нормативные документы"/>
          <xsd:enumeration value="Общие документы"/>
          <xsd:enumeration value="Памятки"/>
          <xsd:enumeration value="Паспорта"/>
          <xsd:enumeration value="Переводы Western Union"/>
          <xsd:enumeration value="Переводы в рублях без открытия счета"/>
          <xsd:enumeration value="Переводы в рублях со счетов"/>
          <xsd:enumeration value="Переводы Золотая корона"/>
          <xsd:enumeration value="ПИФ"/>
          <xsd:enumeration value="Покупка портфелей сторонних банков"/>
          <xsd:enumeration value="Полезная информация"/>
          <xsd:enumeration value="Порядки работы в CRM"/>
          <xsd:enumeration value="Порядки работы в EGAR"/>
          <xsd:enumeration value="Порядки работы в ИС"/>
          <xsd:enumeration value="Порядок принятия решений"/>
          <xsd:enumeration value="Презентационный материал"/>
          <xsd:enumeration value="Приказы"/>
          <xsd:enumeration value="Процедура кредитования МБ"/>
          <xsd:enumeration value="Расторжение договоров МБ"/>
          <xsd:enumeration value="Резервирование МБ"/>
          <xsd:enumeration value="Реструктуризация кредитных карт"/>
          <xsd:enumeration value="Реструктуризация потребительских кредитов"/>
          <xsd:enumeration value="Рефинансирование"/>
          <xsd:enumeration value="Сегментация клиентов МБ"/>
          <xsd:enumeration value="Сезонные вклады"/>
          <xsd:enumeration value="Секьюретизация"/>
          <xsd:enumeration value="Способы оплаты"/>
          <xsd:enumeration value="Стандарты продаж"/>
          <xsd:enumeration value="Страхование"/>
          <xsd:enumeration value="Тарифы"/>
          <xsd:enumeration value="Технологии"/>
          <xsd:enumeration value="Типовые формы документации"/>
          <xsd:enumeration value="Условия"/>
          <xsd:enumeration value="Формы кредитной документации"/>
          <xsd:enumeration value="Страхование жизни от НС"/>
          <xsd:enumeration value="Конструктор"/>
          <xsd:enumeration value="Документация по продукту &quot;В Ритме бизнеса&quot;"/>
          <xsd:enumeration value="Легче не бывает"/>
          <xsd:enumeration value="Стабилизационный кредит"/>
          <xsd:enumeration value="МККР"/>
          <xsd:enumeration value="Массовый выпуск"/>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0"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40__x043e__x0434__x0443__x043a__x0442_ xmlns="b60ba9ec-6afa-41d0-aa22-c3d3efe3edff">Ипотека</_x041f__x0440__x043e__x0434__x0443__x043a__x0442_>
    <_x0422__x0438__x043f__x0020__x043f__x043e__x043b__x044c__x0437__x043e__x0432__x0430__x0442__x0435__x043b__x044f_ xmlns="b60ba9ec-6afa-41d0-aa22-c3d3efe3edff">
      <Value>Менеджер-консультант</Value>
      <Value>Сотрудник отдела ипотечного кредитования</Value>
      <Value>Сотрудник отдела продаж розничных продуктов</Value>
      <Value>Сотрудник Информационного центра</Value>
      <Value>Сотрудник Отдела мониторинга розничного портфеля</Value>
    </_x0422__x0438__x043f__x0020__x043f__x043e__x043b__x044c__x0437__x043e__x0432__x0430__x0442__x0435__x043b__x044f_>
    <_x041a__x0430__x0442__x0435__x0433__x043e__x0440__x0438__x044f_ xmlns="b60ba9ec-6afa-41d0-aa22-c3d3efe3edff">Квартира на вторичном рынке</_x041a__x0430__x0442__x0435__x0433__x043e__x0440__x0438__x044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8201-DA2D-41F9-8BB9-65338EC7F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a9ec-6afa-41d0-aa22-c3d3efe3e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82F60-0A8A-40B8-A2AA-04EA9E1E7B8F}">
  <ds:schemaRefs>
    <ds:schemaRef ds:uri="http://schemas.microsoft.com/sharepoint/v3/contenttype/forms"/>
  </ds:schemaRefs>
</ds:datastoreItem>
</file>

<file path=customXml/itemProps3.xml><?xml version="1.0" encoding="utf-8"?>
<ds:datastoreItem xmlns:ds="http://schemas.openxmlformats.org/officeDocument/2006/customXml" ds:itemID="{255F10DD-E8FA-4818-B8C6-D0AA297A54B7}">
  <ds:schemaRefs>
    <ds:schemaRef ds:uri="http://schemas.microsoft.com/office/2006/metadata/properties"/>
    <ds:schemaRef ds:uri="http://schemas.microsoft.com/office/infopath/2007/PartnerControls"/>
    <ds:schemaRef ds:uri="b60ba9ec-6afa-41d0-aa22-c3d3efe3edff"/>
  </ds:schemaRefs>
</ds:datastoreItem>
</file>

<file path=customXml/itemProps4.xml><?xml version="1.0" encoding="utf-8"?>
<ds:datastoreItem xmlns:ds="http://schemas.openxmlformats.org/officeDocument/2006/customXml" ds:itemID="{690E081B-B13B-4BA8-A529-E570A546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Company>MBRD</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Квартира на вторичном рынке_Тарифы</dc:title>
  <dc:subject/>
  <dc:creator>Шестакова Ирина Викторовна</dc:creator>
  <cp:keywords/>
  <dc:description/>
  <cp:lastModifiedBy>AZarafutdinova</cp:lastModifiedBy>
  <cp:revision>1</cp:revision>
  <cp:lastPrinted>2011-11-22T08:05:00Z</cp:lastPrinted>
  <dcterms:created xsi:type="dcterms:W3CDTF">2014-05-19T12:44:00Z</dcterms:created>
  <dcterms:modified xsi:type="dcterms:W3CDTF">2014-05-19T12:44:00Z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0x01010044DB29873CB3D34F904AD658EE79375F</vt:lpwstr>
  </property>
</Properties>
</file>